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301" w:rsidRDefault="005E0301" w:rsidP="00AF789F">
      <w:pPr>
        <w:autoSpaceDE/>
        <w:autoSpaceDN/>
        <w:spacing w:after="240" w:line="360" w:lineRule="auto"/>
        <w:jc w:val="both"/>
      </w:pPr>
    </w:p>
    <w:p w:rsidR="005F1CF7" w:rsidRDefault="005F1CF7" w:rsidP="007D424D">
      <w:pPr>
        <w:spacing w:after="120" w:line="360" w:lineRule="auto"/>
        <w:jc w:val="center"/>
        <w:rPr>
          <w:lang w:val="fr-FR"/>
        </w:rPr>
      </w:pPr>
      <w:r w:rsidRPr="007D424D">
        <w:rPr>
          <w:b/>
          <w:lang w:val="fr-FR"/>
        </w:rPr>
        <w:t>Principaux changements intervenus dans le passage de la Balance des Paiements de la version Manuel 5 au Manuel 6 du</w:t>
      </w:r>
      <w:r w:rsidR="00013A41">
        <w:rPr>
          <w:b/>
          <w:lang w:val="fr-FR"/>
        </w:rPr>
        <w:t xml:space="preserve"> </w:t>
      </w:r>
      <w:r w:rsidRPr="007D424D">
        <w:rPr>
          <w:b/>
          <w:lang w:val="fr-FR"/>
        </w:rPr>
        <w:t>FMI</w:t>
      </w:r>
      <w:r>
        <w:rPr>
          <w:lang w:val="fr-FR"/>
        </w:rPr>
        <w:t xml:space="preserve"> </w:t>
      </w:r>
      <w:bookmarkStart w:id="0" w:name="_GoBack"/>
      <w:r w:rsidR="0060169D">
        <w:rPr>
          <w:lang w:val="fr-FR"/>
        </w:rPr>
        <w:t xml:space="preserve">(Laurence Nayman, 25/09/2014) </w:t>
      </w:r>
      <w:bookmarkEnd w:id="0"/>
      <w:r>
        <w:rPr>
          <w:lang w:val="fr-FR"/>
        </w:rPr>
        <w:t>(</w:t>
      </w:r>
      <w:hyperlink r:id="rId8" w:history="1">
        <w:r w:rsidRPr="00AE160B">
          <w:rPr>
            <w:rStyle w:val="Lienhypertexte"/>
            <w:lang w:val="fr-FR"/>
          </w:rPr>
          <w:t>http://www.imf.org/external/pubs/ft/bop/2007/bopman6.htm</w:t>
        </w:r>
      </w:hyperlink>
      <w:r>
        <w:rPr>
          <w:lang w:val="fr-FR"/>
        </w:rPr>
        <w:t>)</w:t>
      </w:r>
    </w:p>
    <w:p w:rsidR="004E620A" w:rsidRPr="00C56253" w:rsidRDefault="004E620A" w:rsidP="00C56253">
      <w:pPr>
        <w:pStyle w:val="Titre"/>
        <w:rPr>
          <w:sz w:val="32"/>
          <w:szCs w:val="32"/>
          <w:lang w:val="fr-FR"/>
        </w:rPr>
      </w:pPr>
      <w:r w:rsidRPr="00C56253">
        <w:rPr>
          <w:sz w:val="32"/>
          <w:szCs w:val="32"/>
          <w:lang w:val="fr-FR"/>
        </w:rPr>
        <w:t>Méthodologie</w:t>
      </w:r>
      <w:r w:rsidR="00C6204D">
        <w:rPr>
          <w:sz w:val="32"/>
          <w:szCs w:val="32"/>
          <w:lang w:val="fr-FR"/>
        </w:rPr>
        <w:t xml:space="preserve"> Chelem</w:t>
      </w:r>
    </w:p>
    <w:p w:rsidR="004E620A" w:rsidRDefault="004E620A" w:rsidP="007D424D">
      <w:pPr>
        <w:pStyle w:val="Paragraphedeliste"/>
        <w:numPr>
          <w:ilvl w:val="0"/>
          <w:numId w:val="3"/>
        </w:numPr>
        <w:spacing w:after="120" w:line="360" w:lineRule="auto"/>
        <w:jc w:val="both"/>
        <w:rPr>
          <w:lang w:val="fr-FR"/>
        </w:rPr>
      </w:pPr>
      <w:r>
        <w:rPr>
          <w:lang w:val="fr-FR"/>
        </w:rPr>
        <w:t>La correspondance entre les postes du FMI manuel 5 et les postes du manuel 6 a été effectuée sur la base de la table publiée par le FMI</w:t>
      </w:r>
      <w:r w:rsidR="00D702DE">
        <w:rPr>
          <w:lang w:val="fr-FR"/>
        </w:rPr>
        <w:t xml:space="preserve"> en novembre 2013</w:t>
      </w:r>
      <w:r>
        <w:rPr>
          <w:lang w:val="fr-FR"/>
        </w:rPr>
        <w:t xml:space="preserve">. Les données du FMI de la version 5 du manuel ont donc été converties dans les codes FMI du manuel 6, puis </w:t>
      </w:r>
      <w:r w:rsidRPr="004E620A">
        <w:rPr>
          <w:i/>
          <w:lang w:val="fr-FR"/>
        </w:rPr>
        <w:t>in fine</w:t>
      </w:r>
      <w:r>
        <w:rPr>
          <w:lang w:val="fr-FR"/>
        </w:rPr>
        <w:t xml:space="preserve"> dans les codes CHELEM.</w:t>
      </w:r>
    </w:p>
    <w:p w:rsidR="005F1CF7" w:rsidRDefault="004E620A" w:rsidP="007D424D">
      <w:pPr>
        <w:pStyle w:val="Paragraphedeliste"/>
        <w:numPr>
          <w:ilvl w:val="0"/>
          <w:numId w:val="3"/>
        </w:numPr>
        <w:spacing w:after="120" w:line="360" w:lineRule="auto"/>
        <w:jc w:val="both"/>
        <w:rPr>
          <w:lang w:val="fr-FR"/>
        </w:rPr>
      </w:pPr>
      <w:r>
        <w:rPr>
          <w:lang w:val="fr-FR"/>
        </w:rPr>
        <w:t>La rétropolation s’est déroulée en deux étapes :</w:t>
      </w:r>
    </w:p>
    <w:p w:rsidR="00C56253" w:rsidRPr="009F496B" w:rsidRDefault="00C56253" w:rsidP="00C56253">
      <w:pPr>
        <w:pStyle w:val="Paragraphedeliste"/>
        <w:numPr>
          <w:ilvl w:val="0"/>
          <w:numId w:val="4"/>
        </w:numPr>
        <w:spacing w:after="120" w:line="360" w:lineRule="auto"/>
        <w:jc w:val="both"/>
        <w:rPr>
          <w:lang w:val="fr-FR"/>
        </w:rPr>
      </w:pPr>
      <w:r w:rsidRPr="009F496B">
        <w:rPr>
          <w:lang w:val="fr-FR"/>
        </w:rPr>
        <w:t>Les années de recouvrement entre le manuel 5</w:t>
      </w:r>
      <w:r w:rsidR="006F75B0" w:rsidRPr="009F496B">
        <w:rPr>
          <w:lang w:val="fr-FR"/>
        </w:rPr>
        <w:t xml:space="preserve"> (</w:t>
      </w:r>
      <w:r w:rsidR="00CF53B4">
        <w:rPr>
          <w:lang w:val="fr-FR"/>
        </w:rPr>
        <w:t xml:space="preserve">de la </w:t>
      </w:r>
      <w:r w:rsidR="006F75B0" w:rsidRPr="009F496B">
        <w:rPr>
          <w:lang w:val="fr-FR"/>
        </w:rPr>
        <w:t>1</w:t>
      </w:r>
      <w:r w:rsidR="006F75B0" w:rsidRPr="009F496B">
        <w:rPr>
          <w:vertAlign w:val="superscript"/>
          <w:lang w:val="fr-FR"/>
        </w:rPr>
        <w:t>ère</w:t>
      </w:r>
      <w:r w:rsidR="00CF53B4">
        <w:rPr>
          <w:lang w:val="fr-FR"/>
        </w:rPr>
        <w:t xml:space="preserve"> année à </w:t>
      </w:r>
      <w:r w:rsidR="006F75B0" w:rsidRPr="009F496B">
        <w:rPr>
          <w:lang w:val="fr-FR"/>
        </w:rPr>
        <w:t>2008)</w:t>
      </w:r>
      <w:r w:rsidRPr="009F496B">
        <w:rPr>
          <w:lang w:val="fr-FR"/>
        </w:rPr>
        <w:t xml:space="preserve"> et le manuel 6</w:t>
      </w:r>
      <w:r w:rsidR="00CF53B4">
        <w:rPr>
          <w:lang w:val="fr-FR"/>
        </w:rPr>
        <w:t xml:space="preserve"> (de 2005 à </w:t>
      </w:r>
      <w:r w:rsidR="006F75B0" w:rsidRPr="009F496B">
        <w:rPr>
          <w:lang w:val="fr-FR"/>
        </w:rPr>
        <w:t>201</w:t>
      </w:r>
      <w:r w:rsidR="00F559A3">
        <w:rPr>
          <w:lang w:val="fr-FR"/>
        </w:rPr>
        <w:t>3</w:t>
      </w:r>
      <w:r w:rsidR="006F75B0" w:rsidRPr="009F496B">
        <w:rPr>
          <w:lang w:val="fr-FR"/>
        </w:rPr>
        <w:t>)</w:t>
      </w:r>
      <w:r w:rsidRPr="009F496B">
        <w:rPr>
          <w:lang w:val="fr-FR"/>
        </w:rPr>
        <w:t xml:space="preserve"> du FMI vont de 2005 à 2008. </w:t>
      </w:r>
      <w:r w:rsidR="009F496B">
        <w:rPr>
          <w:lang w:val="fr-FR"/>
        </w:rPr>
        <w:t>Comme certains postes utiles à la rétropolation ne sont pas affichés dans le CD-ROM du FMI, il résulte de la comparaison des données en manuel 6 et des données du manuel 5 converties en manuel 6 un résidu qu’il a fallu réaffecter. Ainsi, p</w:t>
      </w:r>
      <w:r w:rsidR="009F496B" w:rsidRPr="009F496B">
        <w:rPr>
          <w:lang w:val="fr-FR"/>
        </w:rPr>
        <w:t>our un compte donné de l’année 2005, la différence entre la nouvelle valeur du manuel 6 et la valeur du manuel 5 convertie en manuel 6 a été rapportée à cette dernière valeur.</w:t>
      </w:r>
    </w:p>
    <w:p w:rsidR="00C56253" w:rsidRDefault="00C56253" w:rsidP="00C56253">
      <w:pPr>
        <w:pStyle w:val="Paragraphedeliste"/>
        <w:numPr>
          <w:ilvl w:val="0"/>
          <w:numId w:val="4"/>
        </w:numPr>
        <w:spacing w:after="120" w:line="360" w:lineRule="auto"/>
        <w:jc w:val="both"/>
        <w:rPr>
          <w:lang w:val="fr-FR"/>
        </w:rPr>
      </w:pPr>
      <w:r w:rsidRPr="009F496B">
        <w:rPr>
          <w:lang w:val="fr-FR"/>
        </w:rPr>
        <w:t>Le ratio ainsi calculé a été appliqué à la série du Manuel 5 du FMI</w:t>
      </w:r>
      <w:r w:rsidR="009F496B">
        <w:rPr>
          <w:lang w:val="fr-FR"/>
        </w:rPr>
        <w:t xml:space="preserve"> convertie en manuel 6</w:t>
      </w:r>
      <w:r w:rsidRPr="009F496B">
        <w:rPr>
          <w:lang w:val="fr-FR"/>
        </w:rPr>
        <w:t xml:space="preserve"> et aux années antérieures récupérées dans des versions plus anciennes.</w:t>
      </w:r>
    </w:p>
    <w:p w:rsidR="00D702DE" w:rsidRDefault="006F75B0" w:rsidP="006F75B0">
      <w:pPr>
        <w:pStyle w:val="Paragraphedeliste"/>
        <w:numPr>
          <w:ilvl w:val="0"/>
          <w:numId w:val="7"/>
        </w:numPr>
        <w:spacing w:after="120" w:line="360" w:lineRule="auto"/>
        <w:jc w:val="both"/>
        <w:rPr>
          <w:lang w:val="fr-FR"/>
        </w:rPr>
      </w:pPr>
      <w:r w:rsidRPr="00D702DE">
        <w:rPr>
          <w:lang w:val="fr-FR"/>
        </w:rPr>
        <w:t>Les comptes ont été rétropolés jusqu’en 2005 dans la base FMI Manuel 6. Ils le sont dans la base CHELEM jusqu’à la première année disponible de la base FMI Manuel 5 pour les grands comptes.</w:t>
      </w:r>
      <w:r w:rsidR="00013A41">
        <w:rPr>
          <w:lang w:val="fr-FR"/>
        </w:rPr>
        <w:t xml:space="preserve"> </w:t>
      </w:r>
      <w:r w:rsidRPr="00D702DE">
        <w:rPr>
          <w:lang w:val="fr-FR"/>
        </w:rPr>
        <w:t>Pour les années antérieures, la rétropolation a été effectuée avec les taux de croissance calculés sur l’information disponible dans des bases plus anciennes</w:t>
      </w:r>
      <w:r w:rsidR="00D702DE">
        <w:rPr>
          <w:lang w:val="fr-FR"/>
        </w:rPr>
        <w:t>.</w:t>
      </w:r>
    </w:p>
    <w:p w:rsidR="000F23AC" w:rsidRDefault="00635DB8" w:rsidP="000F23AC">
      <w:pPr>
        <w:pStyle w:val="Paragraphedeliste"/>
        <w:numPr>
          <w:ilvl w:val="0"/>
          <w:numId w:val="7"/>
        </w:numPr>
        <w:spacing w:after="120" w:line="360" w:lineRule="auto"/>
        <w:jc w:val="both"/>
        <w:rPr>
          <w:lang w:val="fr-FR"/>
        </w:rPr>
      </w:pPr>
      <w:r w:rsidRPr="00D702DE">
        <w:rPr>
          <w:lang w:val="fr-FR"/>
        </w:rPr>
        <w:t xml:space="preserve">Une interpolation linéaire a été opérée pour les </w:t>
      </w:r>
      <w:r w:rsidR="00106294" w:rsidRPr="00D702DE">
        <w:rPr>
          <w:lang w:val="fr-FR"/>
        </w:rPr>
        <w:t>grands</w:t>
      </w:r>
      <w:r w:rsidRPr="00D702DE">
        <w:rPr>
          <w:lang w:val="fr-FR"/>
        </w:rPr>
        <w:t xml:space="preserve"> compte</w:t>
      </w:r>
      <w:r w:rsidR="00106294" w:rsidRPr="00D702DE">
        <w:rPr>
          <w:lang w:val="fr-FR"/>
        </w:rPr>
        <w:t>s</w:t>
      </w:r>
      <w:r w:rsidRPr="00D702DE">
        <w:rPr>
          <w:lang w:val="fr-FR"/>
        </w:rPr>
        <w:t xml:space="preserve"> </w:t>
      </w:r>
      <w:r w:rsidR="00106294" w:rsidRPr="00D702DE">
        <w:rPr>
          <w:lang w:val="fr-FR"/>
        </w:rPr>
        <w:t>dès lors que les années étaient vides pour tous ces comptes</w:t>
      </w:r>
      <w:r w:rsidRPr="00D702DE">
        <w:rPr>
          <w:lang w:val="fr-FR"/>
        </w:rPr>
        <w:t>.</w:t>
      </w:r>
    </w:p>
    <w:p w:rsidR="000F23AC" w:rsidRDefault="000F23AC" w:rsidP="000F23AC">
      <w:pPr>
        <w:pStyle w:val="Paragraphedeliste"/>
        <w:numPr>
          <w:ilvl w:val="0"/>
          <w:numId w:val="7"/>
        </w:numPr>
        <w:spacing w:after="120" w:line="360" w:lineRule="auto"/>
        <w:jc w:val="both"/>
        <w:rPr>
          <w:lang w:val="fr-FR"/>
        </w:rPr>
      </w:pPr>
      <w:r>
        <w:rPr>
          <w:lang w:val="fr-FR"/>
        </w:rPr>
        <w:t>Du fait de changements non identifiés, la réplication de la méthode du FMI nous a conduits à créer un poste non ventilé pour le compte courant, « 100nv ». Le poste « 123nv », non ventilés des autres services</w:t>
      </w:r>
      <w:r w:rsidR="00344CC3">
        <w:rPr>
          <w:lang w:val="fr-FR"/>
        </w:rPr>
        <w:t>,</w:t>
      </w:r>
      <w:r>
        <w:rPr>
          <w:lang w:val="fr-FR"/>
        </w:rPr>
        <w:t xml:space="preserve"> existait déjà. Les crédits et les débits de ces postes peuvent être négatifs. </w:t>
      </w:r>
    </w:p>
    <w:p w:rsidR="000F23AC" w:rsidRPr="000F23AC" w:rsidRDefault="000F23AC" w:rsidP="000F23AC">
      <w:pPr>
        <w:pStyle w:val="Paragraphedeliste"/>
        <w:numPr>
          <w:ilvl w:val="0"/>
          <w:numId w:val="7"/>
        </w:numPr>
        <w:spacing w:after="120" w:line="360" w:lineRule="auto"/>
        <w:jc w:val="both"/>
        <w:rPr>
          <w:lang w:val="fr-FR"/>
        </w:rPr>
      </w:pPr>
      <w:r>
        <w:rPr>
          <w:lang w:val="fr-FR"/>
        </w:rPr>
        <w:t>Dans la version 2015</w:t>
      </w:r>
      <w:r w:rsidR="00076B3D">
        <w:rPr>
          <w:lang w:val="fr-FR"/>
        </w:rPr>
        <w:t>, de nouveaux postes apparaissent. Dans les services : le compte « </w:t>
      </w:r>
      <w:r w:rsidR="00076B3D" w:rsidRPr="00076B3D">
        <w:rPr>
          <w:lang w:val="fr-FR"/>
        </w:rPr>
        <w:t>Télécommunications, services informatiques et d'information</w:t>
      </w:r>
      <w:r w:rsidR="00076B3D">
        <w:rPr>
          <w:lang w:val="fr-FR"/>
        </w:rPr>
        <w:t> » et le compte « </w:t>
      </w:r>
      <w:r w:rsidR="00076B3D" w:rsidRPr="00076B3D">
        <w:rPr>
          <w:lang w:val="fr-FR"/>
        </w:rPr>
        <w:t xml:space="preserve">Autres </w:t>
      </w:r>
      <w:r w:rsidR="00076B3D" w:rsidRPr="00076B3D">
        <w:rPr>
          <w:lang w:val="fr-FR"/>
        </w:rPr>
        <w:lastRenderedPageBreak/>
        <w:t>services aux entreprises</w:t>
      </w:r>
      <w:r w:rsidR="00076B3D">
        <w:rPr>
          <w:lang w:val="fr-FR"/>
        </w:rPr>
        <w:t> » sont respectivement  déclinés en trois composantes. Les revenus primaires sont aussi désag</w:t>
      </w:r>
      <w:r w:rsidR="00344CC3">
        <w:rPr>
          <w:lang w:val="fr-FR"/>
        </w:rPr>
        <w:t>r</w:t>
      </w:r>
      <w:r w:rsidR="00076B3D">
        <w:rPr>
          <w:lang w:val="fr-FR"/>
        </w:rPr>
        <w:t>égés en trois sous-postes « rémunérations des salariés »,  « revenus d’investissement » et « autres investissements ».</w:t>
      </w:r>
      <w:r w:rsidR="000E7A54">
        <w:rPr>
          <w:lang w:val="fr-FR"/>
        </w:rPr>
        <w:t xml:space="preserve"> Ce dernier poste est nouveau dans la dernière version du manuel.  </w:t>
      </w:r>
      <w:r w:rsidR="00FE1986">
        <w:rPr>
          <w:lang w:val="fr-FR"/>
        </w:rPr>
        <w:t>Contrairement au choix retenu pour les autres postes de la balance des paiements, l</w:t>
      </w:r>
      <w:r w:rsidR="000E7A54">
        <w:rPr>
          <w:lang w:val="fr-FR"/>
        </w:rPr>
        <w:t>e total des revenus primaires n’équivaut pas forcément à la somme</w:t>
      </w:r>
      <w:r w:rsidR="00FE1986">
        <w:rPr>
          <w:lang w:val="fr-FR"/>
        </w:rPr>
        <w:t xml:space="preserve">, </w:t>
      </w:r>
      <w:r w:rsidR="000E7A54">
        <w:rPr>
          <w:lang w:val="fr-FR"/>
        </w:rPr>
        <w:t xml:space="preserve">dès lors que l’une des deux premières </w:t>
      </w:r>
      <w:r w:rsidR="00FE1986">
        <w:rPr>
          <w:lang w:val="fr-FR"/>
        </w:rPr>
        <w:t>composantes n’est pas renseignée</w:t>
      </w:r>
      <w:r w:rsidR="000E7A54">
        <w:rPr>
          <w:lang w:val="fr-FR"/>
        </w:rPr>
        <w:t>.</w:t>
      </w:r>
    </w:p>
    <w:p w:rsidR="00C56253" w:rsidRDefault="00C56253" w:rsidP="00C56253">
      <w:pPr>
        <w:pStyle w:val="Paragraphedeliste"/>
        <w:numPr>
          <w:ilvl w:val="0"/>
          <w:numId w:val="6"/>
        </w:numPr>
        <w:spacing w:after="120" w:line="360" w:lineRule="auto"/>
        <w:jc w:val="both"/>
        <w:rPr>
          <w:lang w:val="fr-FR"/>
        </w:rPr>
      </w:pPr>
      <w:r>
        <w:rPr>
          <w:lang w:val="fr-FR"/>
        </w:rPr>
        <w:t>Pour les années antérieures à la 1</w:t>
      </w:r>
      <w:r w:rsidRPr="00C56253">
        <w:rPr>
          <w:vertAlign w:val="superscript"/>
          <w:lang w:val="fr-FR"/>
        </w:rPr>
        <w:t>ère</w:t>
      </w:r>
      <w:r>
        <w:rPr>
          <w:lang w:val="fr-FR"/>
        </w:rPr>
        <w:t xml:space="preserve"> année disponible dans la version 5 du </w:t>
      </w:r>
      <w:r w:rsidR="006F75B0">
        <w:rPr>
          <w:lang w:val="fr-FR"/>
        </w:rPr>
        <w:t>manuel</w:t>
      </w:r>
      <w:r>
        <w:rPr>
          <w:lang w:val="fr-FR"/>
        </w:rPr>
        <w:t xml:space="preserve">, </w:t>
      </w:r>
      <w:r w:rsidR="006F75B0">
        <w:rPr>
          <w:lang w:val="fr-FR"/>
        </w:rPr>
        <w:t>certains pays ne sont pas présents. Pour</w:t>
      </w:r>
      <w:r w:rsidR="00CF53B4">
        <w:rPr>
          <w:lang w:val="fr-FR"/>
        </w:rPr>
        <w:t xml:space="preserve"> certains pays comme</w:t>
      </w:r>
      <w:r w:rsidR="006F75B0">
        <w:rPr>
          <w:lang w:val="fr-FR"/>
        </w:rPr>
        <w:t xml:space="preserve"> </w:t>
      </w:r>
      <w:r w:rsidR="006F75B0" w:rsidRPr="00106294">
        <w:rPr>
          <w:lang w:val="fr-FR"/>
        </w:rPr>
        <w:t>Taiwan</w:t>
      </w:r>
      <w:r w:rsidR="009B4FD7" w:rsidRPr="00106294">
        <w:rPr>
          <w:lang w:val="fr-FR"/>
        </w:rPr>
        <w:t>, Cuba</w:t>
      </w:r>
      <w:r w:rsidR="006F75B0" w:rsidRPr="00106294">
        <w:rPr>
          <w:lang w:val="fr-FR"/>
        </w:rPr>
        <w:t xml:space="preserve"> et les Emirats Arabes Unis</w:t>
      </w:r>
      <w:r w:rsidR="006F75B0">
        <w:rPr>
          <w:lang w:val="fr-FR"/>
        </w:rPr>
        <w:t>, les données ont été reprises en valeur d’une version plus ancienne.</w:t>
      </w:r>
      <w:r w:rsidR="00106294">
        <w:rPr>
          <w:lang w:val="fr-FR"/>
        </w:rPr>
        <w:t xml:space="preserve"> Pour Taiwan, les données récentes proviennent du « Taiwan Statistical Data Book 201</w:t>
      </w:r>
      <w:r w:rsidR="00D174AF">
        <w:rPr>
          <w:lang w:val="fr-FR"/>
        </w:rPr>
        <w:t>4</w:t>
      </w:r>
      <w:r w:rsidR="00106294">
        <w:rPr>
          <w:lang w:val="fr-FR"/>
        </w:rPr>
        <w:t> »</w:t>
      </w:r>
      <w:r w:rsidR="00A22130">
        <w:rPr>
          <w:lang w:val="fr-FR"/>
        </w:rPr>
        <w:t>.</w:t>
      </w:r>
      <w:r w:rsidR="006F75B0">
        <w:rPr>
          <w:lang w:val="fr-FR"/>
        </w:rPr>
        <w:t xml:space="preserve"> </w:t>
      </w:r>
    </w:p>
    <w:p w:rsidR="006F75B0" w:rsidRDefault="009B4FD7" w:rsidP="00C56253">
      <w:pPr>
        <w:pStyle w:val="Paragraphedeliste"/>
        <w:numPr>
          <w:ilvl w:val="0"/>
          <w:numId w:val="6"/>
        </w:numPr>
        <w:spacing w:after="120" w:line="360" w:lineRule="auto"/>
        <w:jc w:val="both"/>
        <w:rPr>
          <w:lang w:val="fr-FR"/>
        </w:rPr>
      </w:pPr>
      <w:r>
        <w:rPr>
          <w:lang w:val="fr-FR"/>
        </w:rPr>
        <w:t xml:space="preserve">Certains </w:t>
      </w:r>
      <w:r w:rsidR="00D174AF">
        <w:rPr>
          <w:lang w:val="fr-FR"/>
        </w:rPr>
        <w:t>pays</w:t>
      </w:r>
      <w:r>
        <w:rPr>
          <w:lang w:val="fr-FR"/>
        </w:rPr>
        <w:t xml:space="preserve"> ont </w:t>
      </w:r>
      <w:r w:rsidR="00D174AF">
        <w:rPr>
          <w:lang w:val="fr-FR"/>
        </w:rPr>
        <w:t>fait l’objet d’un trai</w:t>
      </w:r>
      <w:r w:rsidR="009E5D2E">
        <w:rPr>
          <w:lang w:val="fr-FR"/>
        </w:rPr>
        <w:t xml:space="preserve">tement particulier du fait de leur </w:t>
      </w:r>
      <w:r w:rsidR="00D174AF">
        <w:rPr>
          <w:lang w:val="fr-FR"/>
        </w:rPr>
        <w:t>éclatement géographique</w:t>
      </w:r>
      <w:r w:rsidR="009E5D2E">
        <w:rPr>
          <w:lang w:val="fr-FR"/>
        </w:rPr>
        <w:t> </w:t>
      </w:r>
      <w:r>
        <w:rPr>
          <w:lang w:val="fr-FR"/>
        </w:rPr>
        <w:t xml:space="preserve">: </w:t>
      </w:r>
      <w:r w:rsidR="00D174AF">
        <w:rPr>
          <w:lang w:val="fr-FR"/>
        </w:rPr>
        <w:t>la Belgique et le Luxembourg déclarent séparément depuis 2002 ; la république tchèque et la Slovaquie depuis 1993 ; la Serbie et le Monténégro depuis 2007</w:t>
      </w:r>
      <w:r>
        <w:rPr>
          <w:lang w:val="fr-FR"/>
        </w:rPr>
        <w:t>. L’agrégat</w:t>
      </w:r>
      <w:r w:rsidR="00D174AF">
        <w:rPr>
          <w:lang w:val="fr-FR"/>
        </w:rPr>
        <w:t xml:space="preserve"> correspondant à ces couples de pays</w:t>
      </w:r>
      <w:r>
        <w:rPr>
          <w:lang w:val="fr-FR"/>
        </w:rPr>
        <w:t xml:space="preserve"> a été repris depuis la 1</w:t>
      </w:r>
      <w:r w:rsidRPr="009B4FD7">
        <w:rPr>
          <w:vertAlign w:val="superscript"/>
          <w:lang w:val="fr-FR"/>
        </w:rPr>
        <w:t>ère</w:t>
      </w:r>
      <w:r>
        <w:rPr>
          <w:lang w:val="fr-FR"/>
        </w:rPr>
        <w:t xml:space="preserve"> année disponible</w:t>
      </w:r>
      <w:r w:rsidR="00D174AF">
        <w:rPr>
          <w:lang w:val="fr-FR"/>
        </w:rPr>
        <w:t xml:space="preserve"> et ventilé selon des parts triennales calculées sur chaque grand compte (plus un détail services)</w:t>
      </w:r>
      <w:r>
        <w:rPr>
          <w:lang w:val="fr-FR"/>
        </w:rPr>
        <w:t>.</w:t>
      </w:r>
      <w:r w:rsidR="00D174AF">
        <w:rPr>
          <w:lang w:val="fr-FR"/>
        </w:rPr>
        <w:t xml:space="preserve"> Pour la Russie, avant 1993, les données correspondent à celles de l’ex-URSS.</w:t>
      </w:r>
    </w:p>
    <w:p w:rsidR="009B4FD7" w:rsidRPr="00C56253" w:rsidRDefault="009B4FD7" w:rsidP="00AF789F">
      <w:pPr>
        <w:pStyle w:val="Paragraphedeliste"/>
        <w:spacing w:after="120" w:line="360" w:lineRule="auto"/>
        <w:jc w:val="both"/>
        <w:rPr>
          <w:lang w:val="fr-FR"/>
        </w:rPr>
      </w:pPr>
    </w:p>
    <w:p w:rsidR="00635DB8" w:rsidRPr="00C56253" w:rsidRDefault="004344BC" w:rsidP="00106294">
      <w:pPr>
        <w:pStyle w:val="Titre"/>
        <w:ind w:left="720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La nouvelle conception de la Balance des paiements</w:t>
      </w:r>
      <w:r w:rsidR="00106294">
        <w:rPr>
          <w:sz w:val="32"/>
          <w:szCs w:val="32"/>
          <w:lang w:val="fr-FR"/>
        </w:rPr>
        <w:t xml:space="preserve"> </w:t>
      </w:r>
      <w:r w:rsidR="00106294" w:rsidRPr="00106294">
        <w:rPr>
          <w:sz w:val="28"/>
          <w:szCs w:val="28"/>
          <w:lang w:val="fr-FR"/>
        </w:rPr>
        <w:t>(source FMI)</w:t>
      </w:r>
    </w:p>
    <w:p w:rsidR="004344BC" w:rsidRDefault="00C6204D" w:rsidP="00C6204D">
      <w:pPr>
        <w:pStyle w:val="Paragraphedeliste"/>
        <w:numPr>
          <w:ilvl w:val="0"/>
          <w:numId w:val="3"/>
        </w:numPr>
        <w:spacing w:after="120" w:line="360" w:lineRule="auto"/>
        <w:jc w:val="both"/>
        <w:rPr>
          <w:lang w:val="fr-FR"/>
        </w:rPr>
      </w:pPr>
      <w:r>
        <w:rPr>
          <w:lang w:val="fr-FR"/>
        </w:rPr>
        <w:t>Les signes ont changé dans la présentation de la balance</w:t>
      </w:r>
      <w:r w:rsidR="004344BC">
        <w:rPr>
          <w:lang w:val="fr-FR"/>
        </w:rPr>
        <w:t xml:space="preserve"> : </w:t>
      </w:r>
    </w:p>
    <w:p w:rsidR="005F1CF7" w:rsidRDefault="004344BC" w:rsidP="004344BC">
      <w:pPr>
        <w:pStyle w:val="Paragraphedeliste"/>
        <w:numPr>
          <w:ilvl w:val="0"/>
          <w:numId w:val="4"/>
        </w:numPr>
        <w:spacing w:after="120" w:line="360" w:lineRule="auto"/>
        <w:jc w:val="both"/>
        <w:rPr>
          <w:lang w:val="fr-FR"/>
        </w:rPr>
      </w:pPr>
      <w:r>
        <w:rPr>
          <w:lang w:val="fr-FR"/>
        </w:rPr>
        <w:t>Pour le compte courant et le compte de capital, les crédits et les débits sont enregistrés avec des signes positifs ; la balance est donc la différence entre les crédits et les débits.</w:t>
      </w:r>
    </w:p>
    <w:p w:rsidR="004344BC" w:rsidRPr="003477AE" w:rsidRDefault="004344BC" w:rsidP="004344BC">
      <w:pPr>
        <w:pStyle w:val="Paragraphedeliste"/>
        <w:numPr>
          <w:ilvl w:val="0"/>
          <w:numId w:val="4"/>
        </w:numPr>
        <w:spacing w:after="120" w:line="360" w:lineRule="auto"/>
        <w:jc w:val="both"/>
        <w:rPr>
          <w:lang w:val="fr-FR"/>
        </w:rPr>
      </w:pPr>
      <w:r>
        <w:rPr>
          <w:lang w:val="fr-FR"/>
        </w:rPr>
        <w:t>Pour le compte financier, les hausses (baisses) d’actifs et les hausses (baisses)</w:t>
      </w:r>
      <w:r w:rsidR="00013A41">
        <w:rPr>
          <w:lang w:val="fr-FR"/>
        </w:rPr>
        <w:t xml:space="preserve"> </w:t>
      </w:r>
      <w:r>
        <w:rPr>
          <w:lang w:val="fr-FR"/>
        </w:rPr>
        <w:t>de passifs sont enregistrées avec des signes positifs (négatifs) ; la balance est donc la différence entre les actifs et les passifs.</w:t>
      </w:r>
      <w:r w:rsidR="00984EB6">
        <w:rPr>
          <w:lang w:val="fr-FR"/>
        </w:rPr>
        <w:t xml:space="preserve"> </w:t>
      </w:r>
      <w:r w:rsidR="00984EB6" w:rsidRPr="003477AE">
        <w:rPr>
          <w:lang w:val="fr-FR"/>
        </w:rPr>
        <w:t>Les</w:t>
      </w:r>
      <w:r w:rsidR="0001196B" w:rsidRPr="003477AE">
        <w:rPr>
          <w:lang w:val="fr-FR"/>
        </w:rPr>
        <w:t xml:space="preserve"> </w:t>
      </w:r>
      <w:r w:rsidR="00984EB6" w:rsidRPr="003477AE">
        <w:rPr>
          <w:lang w:val="fr-FR"/>
        </w:rPr>
        <w:t>signes sont opposés pour la ba</w:t>
      </w:r>
      <w:r w:rsidR="0001196B" w:rsidRPr="003477AE">
        <w:rPr>
          <w:lang w:val="fr-FR"/>
        </w:rPr>
        <w:t xml:space="preserve">lance du compte financier </w:t>
      </w:r>
      <w:r w:rsidR="003477AE" w:rsidRPr="003477AE">
        <w:rPr>
          <w:lang w:val="fr-FR"/>
        </w:rPr>
        <w:t xml:space="preserve"> et ses composantes </w:t>
      </w:r>
      <w:r w:rsidR="0001196B" w:rsidRPr="003477AE">
        <w:rPr>
          <w:lang w:val="fr-FR"/>
        </w:rPr>
        <w:t>dans la nouvelle version</w:t>
      </w:r>
      <w:r w:rsidR="003477AE">
        <w:rPr>
          <w:lang w:val="fr-FR"/>
        </w:rPr>
        <w:t xml:space="preserve"> du Manuel du FMI</w:t>
      </w:r>
      <w:r w:rsidR="0001196B" w:rsidRPr="003477AE">
        <w:rPr>
          <w:lang w:val="fr-FR"/>
        </w:rPr>
        <w:t xml:space="preserve"> par rapport à l’ancienne.</w:t>
      </w:r>
    </w:p>
    <w:p w:rsidR="00357996" w:rsidRDefault="00635DB8" w:rsidP="00635DB8">
      <w:pPr>
        <w:pStyle w:val="Paragraphedeliste"/>
        <w:numPr>
          <w:ilvl w:val="0"/>
          <w:numId w:val="3"/>
        </w:numPr>
        <w:spacing w:after="120" w:line="360" w:lineRule="auto"/>
        <w:jc w:val="both"/>
        <w:rPr>
          <w:lang w:val="fr-FR"/>
        </w:rPr>
      </w:pPr>
      <w:r w:rsidRPr="00357996">
        <w:rPr>
          <w:lang w:val="fr-FR"/>
        </w:rPr>
        <w:t>Les balances du compte courant, du compte de capital et du compte financier, les actif</w:t>
      </w:r>
      <w:r w:rsidR="003C526F" w:rsidRPr="00357996">
        <w:rPr>
          <w:lang w:val="fr-FR"/>
        </w:rPr>
        <w:t>s de réserve ne changent pas </w:t>
      </w:r>
      <w:r w:rsidR="003477AE">
        <w:rPr>
          <w:lang w:val="fr-FR"/>
        </w:rPr>
        <w:t>entre les deux versions ;</w:t>
      </w:r>
      <w:r w:rsidR="003C526F" w:rsidRPr="00357996">
        <w:rPr>
          <w:lang w:val="fr-FR"/>
        </w:rPr>
        <w:t xml:space="preserve"> l</w:t>
      </w:r>
      <w:r w:rsidRPr="00357996">
        <w:rPr>
          <w:lang w:val="fr-FR"/>
        </w:rPr>
        <w:t xml:space="preserve">es erreurs et omissions, à la </w:t>
      </w:r>
      <w:r w:rsidRPr="00357996">
        <w:rPr>
          <w:lang w:val="fr-FR"/>
        </w:rPr>
        <w:lastRenderedPageBreak/>
        <w:t>différence de celles de la base du FMI,</w:t>
      </w:r>
      <w:r w:rsidR="00013A41" w:rsidRPr="00357996">
        <w:rPr>
          <w:lang w:val="fr-FR"/>
        </w:rPr>
        <w:t xml:space="preserve"> </w:t>
      </w:r>
      <w:r w:rsidRPr="00357996">
        <w:rPr>
          <w:lang w:val="fr-FR"/>
        </w:rPr>
        <w:t xml:space="preserve">peuvent éventuellement </w:t>
      </w:r>
      <w:r w:rsidR="003C526F" w:rsidRPr="00357996">
        <w:rPr>
          <w:lang w:val="fr-FR"/>
        </w:rPr>
        <w:t>varier</w:t>
      </w:r>
      <w:r w:rsidRPr="00357996">
        <w:rPr>
          <w:lang w:val="fr-FR"/>
        </w:rPr>
        <w:t xml:space="preserve"> du fait de </w:t>
      </w:r>
      <w:r w:rsidR="00357996" w:rsidRPr="00357996">
        <w:rPr>
          <w:lang w:val="fr-FR"/>
        </w:rPr>
        <w:t>la rétropolation</w:t>
      </w:r>
      <w:r w:rsidRPr="00357996">
        <w:rPr>
          <w:lang w:val="fr-FR"/>
        </w:rPr>
        <w:t xml:space="preserve">. </w:t>
      </w:r>
    </w:p>
    <w:p w:rsidR="00635DB8" w:rsidRPr="00357996" w:rsidRDefault="00635DB8" w:rsidP="00635DB8">
      <w:pPr>
        <w:pStyle w:val="Paragraphedeliste"/>
        <w:numPr>
          <w:ilvl w:val="0"/>
          <w:numId w:val="3"/>
        </w:numPr>
        <w:spacing w:after="120" w:line="360" w:lineRule="auto"/>
        <w:jc w:val="both"/>
        <w:rPr>
          <w:lang w:val="fr-FR"/>
        </w:rPr>
      </w:pPr>
      <w:r w:rsidRPr="00357996">
        <w:rPr>
          <w:lang w:val="fr-FR"/>
        </w:rPr>
        <w:t>Pour le compte courant</w:t>
      </w:r>
      <w:r w:rsidR="00C6204D" w:rsidRPr="00357996">
        <w:rPr>
          <w:lang w:val="fr-FR"/>
        </w:rPr>
        <w:t xml:space="preserve"> et le compte de capital</w:t>
      </w:r>
      <w:r w:rsidRPr="00357996">
        <w:rPr>
          <w:lang w:val="fr-FR"/>
        </w:rPr>
        <w:t>, les principales différences sont :</w:t>
      </w:r>
    </w:p>
    <w:p w:rsidR="00635DB8" w:rsidRDefault="009952DD" w:rsidP="00635DB8">
      <w:pPr>
        <w:pStyle w:val="Paragraphedeliste"/>
        <w:numPr>
          <w:ilvl w:val="0"/>
          <w:numId w:val="4"/>
        </w:numPr>
        <w:spacing w:after="120" w:line="360" w:lineRule="auto"/>
        <w:jc w:val="both"/>
        <w:rPr>
          <w:lang w:val="fr-FR"/>
        </w:rPr>
      </w:pPr>
      <w:r>
        <w:rPr>
          <w:lang w:val="fr-FR"/>
        </w:rPr>
        <w:t>Le « négoce international » est passé du poste des services à celui des biens.</w:t>
      </w:r>
    </w:p>
    <w:p w:rsidR="009952DD" w:rsidRDefault="009952DD" w:rsidP="00635DB8">
      <w:pPr>
        <w:pStyle w:val="Paragraphedeliste"/>
        <w:numPr>
          <w:ilvl w:val="0"/>
          <w:numId w:val="4"/>
        </w:numPr>
        <w:spacing w:after="120" w:line="360" w:lineRule="auto"/>
        <w:jc w:val="both"/>
        <w:rPr>
          <w:lang w:val="fr-FR"/>
        </w:rPr>
      </w:pPr>
      <w:r>
        <w:rPr>
          <w:lang w:val="fr-FR"/>
        </w:rPr>
        <w:t>Le « processing »</w:t>
      </w:r>
      <w:r w:rsidR="00013A41">
        <w:rPr>
          <w:lang w:val="fr-FR"/>
        </w:rPr>
        <w:t xml:space="preserve"> </w:t>
      </w:r>
      <w:r>
        <w:rPr>
          <w:lang w:val="fr-FR"/>
        </w:rPr>
        <w:t>est passé du poste des biens à celui des services, dès lors que le changement de propriété des biens finals n’est pas avéré.</w:t>
      </w:r>
    </w:p>
    <w:p w:rsidR="009952DD" w:rsidRDefault="009952DD" w:rsidP="00635DB8">
      <w:pPr>
        <w:pStyle w:val="Paragraphedeliste"/>
        <w:numPr>
          <w:ilvl w:val="0"/>
          <w:numId w:val="4"/>
        </w:numPr>
        <w:spacing w:after="120" w:line="360" w:lineRule="auto"/>
        <w:jc w:val="both"/>
        <w:rPr>
          <w:lang w:val="fr-FR"/>
        </w:rPr>
      </w:pPr>
      <w:r>
        <w:rPr>
          <w:lang w:val="fr-FR"/>
        </w:rPr>
        <w:t xml:space="preserve">Les « réparations sur les biens » </w:t>
      </w:r>
      <w:r w:rsidR="0015422A">
        <w:rPr>
          <w:lang w:val="fr-FR"/>
        </w:rPr>
        <w:t>son</w:t>
      </w:r>
      <w:r>
        <w:rPr>
          <w:lang w:val="fr-FR"/>
        </w:rPr>
        <w:t>t passée</w:t>
      </w:r>
      <w:r w:rsidR="0015422A">
        <w:rPr>
          <w:lang w:val="fr-FR"/>
        </w:rPr>
        <w:t>s</w:t>
      </w:r>
      <w:r>
        <w:rPr>
          <w:lang w:val="fr-FR"/>
        </w:rPr>
        <w:t xml:space="preserve"> du poste des biens à celui des services.</w:t>
      </w:r>
    </w:p>
    <w:p w:rsidR="009952DD" w:rsidRDefault="009952DD" w:rsidP="00635DB8">
      <w:pPr>
        <w:pStyle w:val="Paragraphedeliste"/>
        <w:numPr>
          <w:ilvl w:val="0"/>
          <w:numId w:val="4"/>
        </w:numPr>
        <w:spacing w:after="120" w:line="360" w:lineRule="auto"/>
        <w:jc w:val="both"/>
        <w:rPr>
          <w:lang w:val="fr-FR"/>
        </w:rPr>
      </w:pPr>
      <w:r>
        <w:rPr>
          <w:lang w:val="fr-FR"/>
        </w:rPr>
        <w:t xml:space="preserve">Les services </w:t>
      </w:r>
      <w:r w:rsidR="009D7493">
        <w:rPr>
          <w:lang w:val="fr-FR"/>
        </w:rPr>
        <w:t xml:space="preserve">de </w:t>
      </w:r>
      <w:r>
        <w:rPr>
          <w:lang w:val="fr-FR"/>
        </w:rPr>
        <w:t>communication et les services liés à l’informatique et à l’internet se retrouvent dans la rubrique « Télécommunications, services informatiques et internet » ; le poste « services postaux et de courrier</w:t>
      </w:r>
      <w:r w:rsidR="009D7493">
        <w:rPr>
          <w:lang w:val="fr-FR"/>
        </w:rPr>
        <w:t> </w:t>
      </w:r>
      <w:r>
        <w:rPr>
          <w:lang w:val="fr-FR"/>
        </w:rPr>
        <w:t>»</w:t>
      </w:r>
      <w:r w:rsidR="00013A41">
        <w:rPr>
          <w:lang w:val="fr-FR"/>
        </w:rPr>
        <w:t xml:space="preserve"> </w:t>
      </w:r>
      <w:r>
        <w:rPr>
          <w:lang w:val="fr-FR"/>
        </w:rPr>
        <w:t>se retrouve dans les transports.</w:t>
      </w:r>
    </w:p>
    <w:p w:rsidR="00C6204D" w:rsidRDefault="00C6204D" w:rsidP="00635DB8">
      <w:pPr>
        <w:pStyle w:val="Paragraphedeliste"/>
        <w:numPr>
          <w:ilvl w:val="0"/>
          <w:numId w:val="4"/>
        </w:numPr>
        <w:spacing w:after="120" w:line="360" w:lineRule="auto"/>
        <w:jc w:val="both"/>
        <w:rPr>
          <w:lang w:val="fr-FR"/>
        </w:rPr>
      </w:pPr>
      <w:r>
        <w:rPr>
          <w:lang w:val="fr-FR"/>
        </w:rPr>
        <w:t>La cession des brevets et licences passe du compte de capital aux « services de R&amp;D ». S’il s’agit de licences dans le domaine informatique ou audiovisuel, elles se retrouvent sous la rubrique des services correspondants.</w:t>
      </w:r>
    </w:p>
    <w:p w:rsidR="009952DD" w:rsidRDefault="009952DD" w:rsidP="00635DB8">
      <w:pPr>
        <w:pStyle w:val="Paragraphedeliste"/>
        <w:numPr>
          <w:ilvl w:val="0"/>
          <w:numId w:val="4"/>
        </w:numPr>
        <w:spacing w:after="120" w:line="360" w:lineRule="auto"/>
        <w:jc w:val="both"/>
        <w:rPr>
          <w:lang w:val="fr-FR"/>
        </w:rPr>
      </w:pPr>
      <w:r>
        <w:rPr>
          <w:lang w:val="fr-FR"/>
        </w:rPr>
        <w:t>Les transferts des migrants devraient dispara</w:t>
      </w:r>
      <w:r w:rsidR="0015422A">
        <w:rPr>
          <w:lang w:val="fr-FR"/>
        </w:rPr>
        <w:t>î</w:t>
      </w:r>
      <w:r>
        <w:rPr>
          <w:lang w:val="fr-FR"/>
        </w:rPr>
        <w:t>tre à terme de la balance des paiements. Pour l’instant, le FMI a décidé de garder le poste sous la rubrique « autres transferts en capital »</w:t>
      </w:r>
      <w:r w:rsidR="00C6204D">
        <w:rPr>
          <w:lang w:val="fr-FR"/>
        </w:rPr>
        <w:t xml:space="preserve"> afin de ne pas impacter le compte des erreurs et omissions.</w:t>
      </w:r>
    </w:p>
    <w:p w:rsidR="00C6204D" w:rsidRDefault="00C6204D" w:rsidP="00C6204D">
      <w:pPr>
        <w:pStyle w:val="Paragraphedeliste"/>
        <w:numPr>
          <w:ilvl w:val="0"/>
          <w:numId w:val="8"/>
        </w:numPr>
        <w:spacing w:after="120" w:line="360" w:lineRule="auto"/>
        <w:jc w:val="both"/>
        <w:rPr>
          <w:lang w:val="fr-FR"/>
        </w:rPr>
      </w:pPr>
      <w:r>
        <w:rPr>
          <w:lang w:val="fr-FR"/>
        </w:rPr>
        <w:t>Pour le compte financier, quelques changements sont à signaler :</w:t>
      </w:r>
    </w:p>
    <w:p w:rsidR="00C6204D" w:rsidRDefault="00C6204D" w:rsidP="00C6204D">
      <w:pPr>
        <w:pStyle w:val="Paragraphedeliste"/>
        <w:numPr>
          <w:ilvl w:val="0"/>
          <w:numId w:val="4"/>
        </w:numPr>
        <w:spacing w:after="120" w:line="360" w:lineRule="auto"/>
        <w:jc w:val="both"/>
        <w:rPr>
          <w:lang w:val="fr-FR"/>
        </w:rPr>
      </w:pPr>
      <w:r>
        <w:rPr>
          <w:lang w:val="fr-FR"/>
        </w:rPr>
        <w:t>La présentation est faite sous forme d’actifs et de</w:t>
      </w:r>
      <w:r w:rsidR="00A22130">
        <w:rPr>
          <w:lang w:val="fr-FR"/>
        </w:rPr>
        <w:t xml:space="preserve"> passifs et devient sectorielle</w:t>
      </w:r>
      <w:r>
        <w:rPr>
          <w:lang w:val="fr-FR"/>
        </w:rPr>
        <w:t>.</w:t>
      </w:r>
    </w:p>
    <w:p w:rsidR="005F1CF7" w:rsidRPr="004344BC" w:rsidRDefault="00C6204D" w:rsidP="004344BC">
      <w:pPr>
        <w:pStyle w:val="Paragraphedeliste"/>
        <w:numPr>
          <w:ilvl w:val="0"/>
          <w:numId w:val="4"/>
        </w:numPr>
        <w:spacing w:after="120" w:line="360" w:lineRule="auto"/>
        <w:jc w:val="both"/>
        <w:rPr>
          <w:lang w:val="fr-FR"/>
        </w:rPr>
      </w:pPr>
      <w:r>
        <w:rPr>
          <w:lang w:val="fr-FR"/>
        </w:rPr>
        <w:t>Le poste « autres investissements » est largement éclaté entre les investissements directs, les investissements de portefeuille et l’acquisition d’actifs financiers selon leur nature.</w:t>
      </w:r>
    </w:p>
    <w:sectPr w:rsidR="005F1CF7" w:rsidRPr="004344BC" w:rsidSect="005E030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D2E" w:rsidRDefault="009E5D2E" w:rsidP="004344BC">
      <w:r>
        <w:separator/>
      </w:r>
    </w:p>
  </w:endnote>
  <w:endnote w:type="continuationSeparator" w:id="0">
    <w:p w:rsidR="009E5D2E" w:rsidRDefault="009E5D2E" w:rsidP="0043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919652"/>
      <w:docPartObj>
        <w:docPartGallery w:val="Page Numbers (Bottom of Page)"/>
        <w:docPartUnique/>
      </w:docPartObj>
    </w:sdtPr>
    <w:sdtEndPr/>
    <w:sdtContent>
      <w:p w:rsidR="009E5D2E" w:rsidRDefault="00AC5394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4CF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E5D2E" w:rsidRDefault="009E5D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D2E" w:rsidRDefault="009E5D2E" w:rsidP="004344BC">
      <w:r>
        <w:separator/>
      </w:r>
    </w:p>
  </w:footnote>
  <w:footnote w:type="continuationSeparator" w:id="0">
    <w:p w:rsidR="009E5D2E" w:rsidRDefault="009E5D2E" w:rsidP="00434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976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40A9054"/>
    <w:lvl w:ilvl="0">
      <w:start w:val="1"/>
      <w:numFmt w:val="bullet"/>
      <w:pStyle w:val="Listepuces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" w15:restartNumberingAfterBreak="0">
    <w:nsid w:val="0FBD0736"/>
    <w:multiLevelType w:val="hybridMultilevel"/>
    <w:tmpl w:val="8ED62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D2D43"/>
    <w:multiLevelType w:val="hybridMultilevel"/>
    <w:tmpl w:val="4EC09D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D3503"/>
    <w:multiLevelType w:val="hybridMultilevel"/>
    <w:tmpl w:val="438823E8"/>
    <w:lvl w:ilvl="0" w:tplc="9E9EBFFA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306077"/>
    <w:multiLevelType w:val="hybridMultilevel"/>
    <w:tmpl w:val="9C4EDA4E"/>
    <w:lvl w:ilvl="0" w:tplc="7D0A4F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41A8B"/>
    <w:multiLevelType w:val="hybridMultilevel"/>
    <w:tmpl w:val="EB1E9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5606D"/>
    <w:multiLevelType w:val="hybridMultilevel"/>
    <w:tmpl w:val="DEAE3E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F7"/>
    <w:rsid w:val="0001196B"/>
    <w:rsid w:val="00013A41"/>
    <w:rsid w:val="0003387D"/>
    <w:rsid w:val="00076B3D"/>
    <w:rsid w:val="000E7A54"/>
    <w:rsid w:val="000F23AC"/>
    <w:rsid w:val="0010546F"/>
    <w:rsid w:val="00106294"/>
    <w:rsid w:val="0012607F"/>
    <w:rsid w:val="00142BD4"/>
    <w:rsid w:val="0015403F"/>
    <w:rsid w:val="0015422A"/>
    <w:rsid w:val="00307A8D"/>
    <w:rsid w:val="00344CC3"/>
    <w:rsid w:val="003477AE"/>
    <w:rsid w:val="00357996"/>
    <w:rsid w:val="003C526F"/>
    <w:rsid w:val="00404CF0"/>
    <w:rsid w:val="004246C6"/>
    <w:rsid w:val="004344BC"/>
    <w:rsid w:val="004E620A"/>
    <w:rsid w:val="005473BA"/>
    <w:rsid w:val="0058236D"/>
    <w:rsid w:val="0058438D"/>
    <w:rsid w:val="005C3EA8"/>
    <w:rsid w:val="005E0301"/>
    <w:rsid w:val="005F1CF7"/>
    <w:rsid w:val="0060169D"/>
    <w:rsid w:val="00635DB8"/>
    <w:rsid w:val="006C5909"/>
    <w:rsid w:val="006F75B0"/>
    <w:rsid w:val="007704EE"/>
    <w:rsid w:val="007D424D"/>
    <w:rsid w:val="0083523B"/>
    <w:rsid w:val="00984EB6"/>
    <w:rsid w:val="009952DD"/>
    <w:rsid w:val="009B4FD7"/>
    <w:rsid w:val="009D7493"/>
    <w:rsid w:val="009E5D2E"/>
    <w:rsid w:val="009F33C9"/>
    <w:rsid w:val="009F496B"/>
    <w:rsid w:val="00A22130"/>
    <w:rsid w:val="00AA4A6E"/>
    <w:rsid w:val="00AC5394"/>
    <w:rsid w:val="00AF789F"/>
    <w:rsid w:val="00C54215"/>
    <w:rsid w:val="00C56253"/>
    <w:rsid w:val="00C6204D"/>
    <w:rsid w:val="00CF53B4"/>
    <w:rsid w:val="00D174AF"/>
    <w:rsid w:val="00D63FF3"/>
    <w:rsid w:val="00D702DE"/>
    <w:rsid w:val="00F559A3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0790"/>
  <w15:docId w15:val="{661D26A8-EC40-4E3F-B984-675A48E0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CF7"/>
    <w:pPr>
      <w:autoSpaceDE w:val="0"/>
      <w:autoSpaceDN w:val="0"/>
      <w:spacing w:after="0" w:line="240" w:lineRule="auto"/>
      <w:jc w:val="left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562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autoRedefine/>
    <w:uiPriority w:val="99"/>
    <w:qFormat/>
    <w:rsid w:val="00C6204D"/>
    <w:pPr>
      <w:numPr>
        <w:numId w:val="2"/>
      </w:numPr>
      <w:spacing w:after="240"/>
    </w:pPr>
  </w:style>
  <w:style w:type="character" w:styleId="Lienhypertexte">
    <w:name w:val="Hyperlink"/>
    <w:basedOn w:val="Policepardfaut"/>
    <w:uiPriority w:val="99"/>
    <w:unhideWhenUsed/>
    <w:rsid w:val="005F1CF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F1CF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C562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itre">
    <w:name w:val="Title"/>
    <w:basedOn w:val="Normal"/>
    <w:next w:val="Normal"/>
    <w:link w:val="TitreCar"/>
    <w:uiPriority w:val="10"/>
    <w:qFormat/>
    <w:rsid w:val="00C562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562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En-tte">
    <w:name w:val="header"/>
    <w:basedOn w:val="Normal"/>
    <w:link w:val="En-tteCar"/>
    <w:uiPriority w:val="99"/>
    <w:semiHidden/>
    <w:unhideWhenUsed/>
    <w:rsid w:val="004344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344BC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344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44BC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C590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C5909"/>
    <w:rPr>
      <w:rFonts w:ascii="Times New Roman" w:eastAsia="MS Mincho" w:hAnsi="Times New Roman" w:cs="Times New Roman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6C5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f.org/external/pubs/ft/bop/2007/bopman6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3AE66-C4D1-4F5C-BAC4-7F8327ECD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nayman</dc:creator>
  <cp:lastModifiedBy>Alix De Saint-Vaulry</cp:lastModifiedBy>
  <cp:revision>3</cp:revision>
  <dcterms:created xsi:type="dcterms:W3CDTF">2022-04-07T13:07:00Z</dcterms:created>
  <dcterms:modified xsi:type="dcterms:W3CDTF">2022-04-07T13:50:00Z</dcterms:modified>
</cp:coreProperties>
</file>