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F7" w:rsidRDefault="00517B24" w:rsidP="007D424D">
      <w:pPr>
        <w:spacing w:after="120" w:line="360" w:lineRule="auto"/>
        <w:jc w:val="center"/>
        <w:rPr>
          <w:lang w:val="fr-FR"/>
        </w:rPr>
      </w:pPr>
      <w:r w:rsidRPr="00517B24">
        <w:rPr>
          <w:b/>
          <w:lang w:val="fr-FR"/>
        </w:rPr>
        <w:t>Main changes in the transition from Manual 5 to Manual 6 of the IMF Balance of Payments</w:t>
      </w:r>
      <w:r w:rsidR="00EA1561">
        <w:rPr>
          <w:b/>
          <w:lang w:val="fr-FR"/>
        </w:rPr>
        <w:t xml:space="preserve"> </w:t>
      </w:r>
      <w:r w:rsidR="00EA1561">
        <w:rPr>
          <w:lang w:val="fr-FR"/>
        </w:rPr>
        <w:t xml:space="preserve">(Laurence Nayman, 25/09/2014) </w:t>
      </w:r>
      <w:r w:rsidRPr="00517B24">
        <w:rPr>
          <w:lang w:val="fr-FR"/>
        </w:rPr>
        <w:t xml:space="preserve"> </w:t>
      </w:r>
      <w:r w:rsidR="005F1CF7">
        <w:rPr>
          <w:lang w:val="fr-FR"/>
        </w:rPr>
        <w:t>(</w:t>
      </w:r>
      <w:hyperlink r:id="rId8" w:history="1">
        <w:r w:rsidR="005F1CF7" w:rsidRPr="00AE160B">
          <w:rPr>
            <w:rStyle w:val="Lienhypertexte"/>
            <w:lang w:val="fr-FR"/>
          </w:rPr>
          <w:t>http://www.imf.org/external/pubs/ft/bop/2007/bopman6.htm</w:t>
        </w:r>
      </w:hyperlink>
      <w:r w:rsidR="005F1CF7">
        <w:rPr>
          <w:lang w:val="fr-FR"/>
        </w:rPr>
        <w:t>)</w:t>
      </w:r>
    </w:p>
    <w:p w:rsidR="004E620A" w:rsidRPr="00C56253" w:rsidRDefault="00C6204D" w:rsidP="00C56253">
      <w:pPr>
        <w:pStyle w:val="Titre"/>
        <w:rPr>
          <w:sz w:val="32"/>
          <w:szCs w:val="32"/>
          <w:lang w:val="fr-FR"/>
        </w:rPr>
      </w:pPr>
      <w:r>
        <w:rPr>
          <w:sz w:val="32"/>
          <w:szCs w:val="32"/>
          <w:lang w:val="fr-FR"/>
        </w:rPr>
        <w:t>Chelem</w:t>
      </w:r>
      <w:r w:rsidR="00517B24">
        <w:rPr>
          <w:sz w:val="32"/>
          <w:szCs w:val="32"/>
          <w:lang w:val="fr-FR"/>
        </w:rPr>
        <w:t xml:space="preserve"> Methodology</w:t>
      </w:r>
    </w:p>
    <w:p w:rsidR="004E620A" w:rsidRDefault="00517B24" w:rsidP="00517B24">
      <w:pPr>
        <w:pStyle w:val="Paragraphedeliste"/>
        <w:numPr>
          <w:ilvl w:val="0"/>
          <w:numId w:val="3"/>
        </w:numPr>
        <w:spacing w:after="120" w:line="360" w:lineRule="auto"/>
        <w:jc w:val="both"/>
        <w:rPr>
          <w:lang w:val="fr-FR"/>
        </w:rPr>
      </w:pPr>
      <w:r>
        <w:rPr>
          <w:lang w:val="fr-FR"/>
        </w:rPr>
        <w:t>The</w:t>
      </w:r>
      <w:r w:rsidR="004E620A">
        <w:rPr>
          <w:lang w:val="fr-FR"/>
        </w:rPr>
        <w:t xml:space="preserve"> correspond</w:t>
      </w:r>
      <w:r>
        <w:rPr>
          <w:lang w:val="fr-FR"/>
        </w:rPr>
        <w:t>e</w:t>
      </w:r>
      <w:r w:rsidR="004E620A">
        <w:rPr>
          <w:lang w:val="fr-FR"/>
        </w:rPr>
        <w:t xml:space="preserve">nce </w:t>
      </w:r>
      <w:r w:rsidRPr="00517B24">
        <w:rPr>
          <w:lang w:val="fr-FR"/>
        </w:rPr>
        <w:t>between Manual 5 FMI items and Manual 6 items was based on the table published by the FMI in November 2013. As a result, the FMI data from M5 has been converted to M6 FMI codes and then ultimately to CHELEM codes</w:t>
      </w:r>
      <w:r w:rsidR="004E620A">
        <w:rPr>
          <w:lang w:val="fr-FR"/>
        </w:rPr>
        <w:t>.</w:t>
      </w:r>
    </w:p>
    <w:p w:rsidR="005F1CF7" w:rsidRDefault="00517B24" w:rsidP="00517B24">
      <w:pPr>
        <w:pStyle w:val="Paragraphedeliste"/>
        <w:numPr>
          <w:ilvl w:val="0"/>
          <w:numId w:val="3"/>
        </w:numPr>
        <w:spacing w:after="120" w:line="360" w:lineRule="auto"/>
        <w:jc w:val="both"/>
        <w:rPr>
          <w:lang w:val="fr-FR"/>
        </w:rPr>
      </w:pPr>
      <w:r w:rsidRPr="00517B24">
        <w:rPr>
          <w:lang w:val="fr-FR"/>
        </w:rPr>
        <w:t>The retropolation took place in two stages</w:t>
      </w:r>
      <w:r w:rsidR="004E620A">
        <w:rPr>
          <w:lang w:val="fr-FR"/>
        </w:rPr>
        <w:t>:</w:t>
      </w:r>
    </w:p>
    <w:p w:rsidR="00C56253" w:rsidRPr="009F496B" w:rsidRDefault="00517B24" w:rsidP="00517B24">
      <w:pPr>
        <w:pStyle w:val="Paragraphedeliste"/>
        <w:numPr>
          <w:ilvl w:val="0"/>
          <w:numId w:val="4"/>
        </w:numPr>
        <w:spacing w:after="120" w:line="360" w:lineRule="auto"/>
        <w:jc w:val="both"/>
        <w:rPr>
          <w:lang w:val="fr-FR"/>
        </w:rPr>
      </w:pPr>
      <w:r w:rsidRPr="00517B24">
        <w:rPr>
          <w:lang w:val="fr-FR"/>
        </w:rPr>
        <w:t>Recovery years between IMF Manual 5 (</w:t>
      </w:r>
      <w:r w:rsidR="00B835F8">
        <w:rPr>
          <w:lang w:val="fr-FR"/>
        </w:rPr>
        <w:t>fir</w:t>
      </w:r>
      <w:r w:rsidRPr="00517B24">
        <w:rPr>
          <w:lang w:val="fr-FR"/>
        </w:rPr>
        <w:t xml:space="preserve">st year to 2008) and Manual 6 (2005 to 2013) </w:t>
      </w:r>
      <w:r>
        <w:rPr>
          <w:lang w:val="fr-FR"/>
        </w:rPr>
        <w:t xml:space="preserve">run </w:t>
      </w:r>
      <w:r w:rsidRPr="00517B24">
        <w:rPr>
          <w:lang w:val="fr-FR"/>
        </w:rPr>
        <w:t>from 2005 to 200</w:t>
      </w:r>
      <w:r>
        <w:rPr>
          <w:lang w:val="fr-FR"/>
        </w:rPr>
        <w:t>8</w:t>
      </w:r>
      <w:r w:rsidR="00C56253" w:rsidRPr="009F496B">
        <w:rPr>
          <w:lang w:val="fr-FR"/>
        </w:rPr>
        <w:t xml:space="preserve">. </w:t>
      </w:r>
      <w:r w:rsidRPr="00517B24">
        <w:rPr>
          <w:lang w:val="fr-FR"/>
        </w:rPr>
        <w:t xml:space="preserve">As some of the useful backpolation items are not displayed on the FMI CD-ROM, a residual that had to be reassigned is the result of the comparison of </w:t>
      </w:r>
      <w:r w:rsidR="00B835F8">
        <w:rPr>
          <w:lang w:val="fr-FR"/>
        </w:rPr>
        <w:t>M</w:t>
      </w:r>
      <w:r w:rsidRPr="00517B24">
        <w:rPr>
          <w:lang w:val="fr-FR"/>
        </w:rPr>
        <w:t xml:space="preserve">anual 6 data and </w:t>
      </w:r>
      <w:r w:rsidR="00B835F8">
        <w:rPr>
          <w:lang w:val="fr-FR"/>
        </w:rPr>
        <w:t>M</w:t>
      </w:r>
      <w:r w:rsidRPr="00517B24">
        <w:rPr>
          <w:lang w:val="fr-FR"/>
        </w:rPr>
        <w:t xml:space="preserve">anual 5 data converted to </w:t>
      </w:r>
      <w:r w:rsidR="00B835F8">
        <w:rPr>
          <w:lang w:val="fr-FR"/>
        </w:rPr>
        <w:t>M</w:t>
      </w:r>
      <w:r w:rsidRPr="00517B24">
        <w:rPr>
          <w:lang w:val="fr-FR"/>
        </w:rPr>
        <w:t>anual 6</w:t>
      </w:r>
      <w:r w:rsidR="009F496B">
        <w:rPr>
          <w:lang w:val="fr-FR"/>
        </w:rPr>
        <w:t xml:space="preserve">. </w:t>
      </w:r>
      <w:r w:rsidRPr="00517B24">
        <w:rPr>
          <w:lang w:val="fr-FR"/>
        </w:rPr>
        <w:t xml:space="preserve">Thus, for a given account in 2005, the difference between the new value of </w:t>
      </w:r>
      <w:r w:rsidR="00B835F8">
        <w:rPr>
          <w:lang w:val="fr-FR"/>
        </w:rPr>
        <w:t>M</w:t>
      </w:r>
      <w:r w:rsidRPr="00517B24">
        <w:rPr>
          <w:lang w:val="fr-FR"/>
        </w:rPr>
        <w:t xml:space="preserve">anual 6 and the value of </w:t>
      </w:r>
      <w:r w:rsidR="00B835F8">
        <w:rPr>
          <w:lang w:val="fr-FR"/>
        </w:rPr>
        <w:t>M</w:t>
      </w:r>
      <w:r w:rsidRPr="00517B24">
        <w:rPr>
          <w:lang w:val="fr-FR"/>
        </w:rPr>
        <w:t xml:space="preserve">anual 5 converted into </w:t>
      </w:r>
      <w:r w:rsidR="00B835F8">
        <w:rPr>
          <w:lang w:val="fr-FR"/>
        </w:rPr>
        <w:t>M</w:t>
      </w:r>
      <w:r w:rsidRPr="00517B24">
        <w:rPr>
          <w:lang w:val="fr-FR"/>
        </w:rPr>
        <w:t>anual 6 was reported to this latter value</w:t>
      </w:r>
      <w:r w:rsidR="009F496B" w:rsidRPr="009F496B">
        <w:rPr>
          <w:lang w:val="fr-FR"/>
        </w:rPr>
        <w:t>.</w:t>
      </w:r>
    </w:p>
    <w:p w:rsidR="00C56253" w:rsidRDefault="00517B24" w:rsidP="00517B24">
      <w:pPr>
        <w:pStyle w:val="Paragraphedeliste"/>
        <w:numPr>
          <w:ilvl w:val="0"/>
          <w:numId w:val="4"/>
        </w:numPr>
        <w:spacing w:after="120" w:line="360" w:lineRule="auto"/>
        <w:jc w:val="both"/>
        <w:rPr>
          <w:lang w:val="fr-FR"/>
        </w:rPr>
      </w:pPr>
      <w:r>
        <w:rPr>
          <w:lang w:val="fr-FR"/>
        </w:rPr>
        <w:t>Th</w:t>
      </w:r>
      <w:r w:rsidR="00D30F33">
        <w:rPr>
          <w:lang w:val="fr-FR"/>
        </w:rPr>
        <w:t>is</w:t>
      </w:r>
      <w:r w:rsidR="00C56253" w:rsidRPr="009F496B">
        <w:rPr>
          <w:lang w:val="fr-FR"/>
        </w:rPr>
        <w:t xml:space="preserve"> </w:t>
      </w:r>
      <w:r>
        <w:rPr>
          <w:lang w:val="fr-FR"/>
        </w:rPr>
        <w:t>c</w:t>
      </w:r>
      <w:r w:rsidRPr="00517B24">
        <w:rPr>
          <w:lang w:val="fr-FR"/>
        </w:rPr>
        <w:t xml:space="preserve">alculated ratio was applied to the FMI Manual 5 series converted to Manual 6 and </w:t>
      </w:r>
      <w:r>
        <w:rPr>
          <w:lang w:val="fr-FR"/>
        </w:rPr>
        <w:t xml:space="preserve">to </w:t>
      </w:r>
      <w:r w:rsidRPr="00517B24">
        <w:rPr>
          <w:lang w:val="fr-FR"/>
        </w:rPr>
        <w:t xml:space="preserve">earlier years </w:t>
      </w:r>
      <w:r w:rsidR="00D30F33">
        <w:rPr>
          <w:lang w:val="fr-FR"/>
        </w:rPr>
        <w:t>from</w:t>
      </w:r>
      <w:r w:rsidRPr="00517B24">
        <w:rPr>
          <w:lang w:val="fr-FR"/>
        </w:rPr>
        <w:t xml:space="preserve"> older versions</w:t>
      </w:r>
      <w:r w:rsidR="00C56253" w:rsidRPr="009F496B">
        <w:rPr>
          <w:lang w:val="fr-FR"/>
        </w:rPr>
        <w:t>.</w:t>
      </w:r>
    </w:p>
    <w:p w:rsidR="00B835F8" w:rsidRPr="00B835F8" w:rsidRDefault="00D30F33" w:rsidP="00B835F8">
      <w:pPr>
        <w:pStyle w:val="Paragraphedeliste"/>
        <w:numPr>
          <w:ilvl w:val="0"/>
          <w:numId w:val="7"/>
        </w:numPr>
        <w:spacing w:after="120" w:line="360" w:lineRule="auto"/>
        <w:jc w:val="both"/>
        <w:rPr>
          <w:lang w:val="fr-FR"/>
        </w:rPr>
      </w:pPr>
      <w:r>
        <w:rPr>
          <w:lang w:val="fr-FR"/>
        </w:rPr>
        <w:t>The accounts</w:t>
      </w:r>
      <w:r w:rsidR="006F75B0" w:rsidRPr="00D702DE">
        <w:rPr>
          <w:lang w:val="fr-FR"/>
        </w:rPr>
        <w:t xml:space="preserve"> </w:t>
      </w:r>
      <w:r w:rsidRPr="00D30F33">
        <w:rPr>
          <w:lang w:val="fr-FR"/>
        </w:rPr>
        <w:t xml:space="preserve">have been </w:t>
      </w:r>
      <w:r w:rsidR="00B835F8">
        <w:rPr>
          <w:lang w:val="fr-FR"/>
        </w:rPr>
        <w:t>retropolat</w:t>
      </w:r>
      <w:r w:rsidRPr="00D30F33">
        <w:rPr>
          <w:lang w:val="fr-FR"/>
        </w:rPr>
        <w:t xml:space="preserve">ed to 2005 in the Manual 6 FMI </w:t>
      </w:r>
      <w:r>
        <w:rPr>
          <w:lang w:val="fr-FR"/>
        </w:rPr>
        <w:t>b</w:t>
      </w:r>
      <w:r w:rsidRPr="00D30F33">
        <w:rPr>
          <w:lang w:val="fr-FR"/>
        </w:rPr>
        <w:t xml:space="preserve">ase. They are </w:t>
      </w:r>
      <w:r w:rsidR="00B835F8">
        <w:rPr>
          <w:lang w:val="fr-FR"/>
        </w:rPr>
        <w:t>retropolat</w:t>
      </w:r>
      <w:r w:rsidR="00B835F8" w:rsidRPr="00D30F33">
        <w:rPr>
          <w:lang w:val="fr-FR"/>
        </w:rPr>
        <w:t xml:space="preserve">ed </w:t>
      </w:r>
      <w:r w:rsidRPr="00D30F33">
        <w:rPr>
          <w:lang w:val="fr-FR"/>
        </w:rPr>
        <w:t xml:space="preserve">in the CHELEM </w:t>
      </w:r>
      <w:r>
        <w:rPr>
          <w:lang w:val="fr-FR"/>
        </w:rPr>
        <w:t>b</w:t>
      </w:r>
      <w:r w:rsidRPr="00D30F33">
        <w:rPr>
          <w:lang w:val="fr-FR"/>
        </w:rPr>
        <w:t xml:space="preserve">ase to the first available year of the Manual 5 FMI </w:t>
      </w:r>
      <w:r>
        <w:rPr>
          <w:lang w:val="fr-FR"/>
        </w:rPr>
        <w:t>b</w:t>
      </w:r>
      <w:r w:rsidRPr="00D30F33">
        <w:rPr>
          <w:lang w:val="fr-FR"/>
        </w:rPr>
        <w:t xml:space="preserve">ase for </w:t>
      </w:r>
      <w:r w:rsidR="007F08CB">
        <w:rPr>
          <w:lang w:val="fr-FR"/>
        </w:rPr>
        <w:t>m</w:t>
      </w:r>
      <w:r w:rsidRPr="00D30F33">
        <w:rPr>
          <w:lang w:val="fr-FR"/>
        </w:rPr>
        <w:t xml:space="preserve">ajor </w:t>
      </w:r>
      <w:r w:rsidR="007F08CB">
        <w:rPr>
          <w:lang w:val="fr-FR"/>
        </w:rPr>
        <w:t>a</w:t>
      </w:r>
      <w:r w:rsidRPr="00D30F33">
        <w:rPr>
          <w:lang w:val="fr-FR"/>
        </w:rPr>
        <w:t>ccounts</w:t>
      </w:r>
      <w:r w:rsidR="006F75B0" w:rsidRPr="00D702DE">
        <w:rPr>
          <w:lang w:val="fr-FR"/>
        </w:rPr>
        <w:t>.</w:t>
      </w:r>
      <w:r w:rsidR="00013A41">
        <w:rPr>
          <w:lang w:val="fr-FR"/>
        </w:rPr>
        <w:t xml:space="preserve"> </w:t>
      </w:r>
      <w:r w:rsidRPr="00D30F33">
        <w:rPr>
          <w:lang w:val="fr-FR"/>
        </w:rPr>
        <w:t>For previous years, the retropolation was carried out with the growth rates calculated on the information available in older databases</w:t>
      </w:r>
      <w:r w:rsidR="00D702DE">
        <w:rPr>
          <w:lang w:val="fr-FR"/>
        </w:rPr>
        <w:t>.</w:t>
      </w:r>
    </w:p>
    <w:p w:rsidR="000F23AC" w:rsidRDefault="00D30F33" w:rsidP="00D30F33">
      <w:pPr>
        <w:pStyle w:val="Paragraphedeliste"/>
        <w:numPr>
          <w:ilvl w:val="0"/>
          <w:numId w:val="7"/>
        </w:numPr>
        <w:spacing w:after="120" w:line="360" w:lineRule="auto"/>
        <w:jc w:val="both"/>
        <w:rPr>
          <w:lang w:val="fr-FR"/>
        </w:rPr>
      </w:pPr>
      <w:r>
        <w:rPr>
          <w:lang w:val="fr-FR"/>
        </w:rPr>
        <w:t>A</w:t>
      </w:r>
      <w:r w:rsidR="00635DB8" w:rsidRPr="00D702DE">
        <w:rPr>
          <w:lang w:val="fr-FR"/>
        </w:rPr>
        <w:t xml:space="preserve"> </w:t>
      </w:r>
      <w:r w:rsidRPr="00D30F33">
        <w:rPr>
          <w:lang w:val="fr-FR"/>
        </w:rPr>
        <w:t>linear interpolation was made for the major accounts when the years were empty for all these accounts</w:t>
      </w:r>
      <w:r w:rsidR="00635DB8" w:rsidRPr="00D702DE">
        <w:rPr>
          <w:lang w:val="fr-FR"/>
        </w:rPr>
        <w:t>.</w:t>
      </w:r>
    </w:p>
    <w:p w:rsidR="000F23AC" w:rsidRDefault="00D30F33" w:rsidP="00D30F33">
      <w:pPr>
        <w:pStyle w:val="Paragraphedeliste"/>
        <w:numPr>
          <w:ilvl w:val="0"/>
          <w:numId w:val="7"/>
        </w:numPr>
        <w:spacing w:after="120" w:line="360" w:lineRule="auto"/>
        <w:jc w:val="both"/>
        <w:rPr>
          <w:lang w:val="fr-FR"/>
        </w:rPr>
      </w:pPr>
      <w:r w:rsidRPr="00D30F33">
        <w:rPr>
          <w:lang w:val="fr-FR"/>
        </w:rPr>
        <w:t>Due to unidentified changes, replication of the IMF method led us to create an unallocated item for the current account</w:t>
      </w:r>
      <w:r w:rsidR="000F23AC">
        <w:rPr>
          <w:lang w:val="fr-FR"/>
        </w:rPr>
        <w:t xml:space="preserve">, </w:t>
      </w:r>
      <w:r w:rsidR="00B835F8" w:rsidRPr="00EA1561">
        <w:rPr>
          <w:lang w:val="fr-FR"/>
        </w:rPr>
        <w:t>“</w:t>
      </w:r>
      <w:r w:rsidR="000F23AC">
        <w:rPr>
          <w:lang w:val="fr-FR"/>
        </w:rPr>
        <w:t>100nv</w:t>
      </w:r>
      <w:r w:rsidR="00B835F8" w:rsidRPr="00EA1561">
        <w:rPr>
          <w:lang w:val="fr-FR"/>
        </w:rPr>
        <w:t>”</w:t>
      </w:r>
      <w:r w:rsidR="000F23AC">
        <w:rPr>
          <w:lang w:val="fr-FR"/>
        </w:rPr>
        <w:t xml:space="preserve">. </w:t>
      </w:r>
      <w:r>
        <w:rPr>
          <w:lang w:val="fr-FR"/>
        </w:rPr>
        <w:t>The item,</w:t>
      </w:r>
      <w:r w:rsidR="000F23AC">
        <w:rPr>
          <w:lang w:val="fr-FR"/>
        </w:rPr>
        <w:t xml:space="preserve"> </w:t>
      </w:r>
      <w:r w:rsidR="00B835F8" w:rsidRPr="00EA1561">
        <w:rPr>
          <w:lang w:val="fr-FR"/>
        </w:rPr>
        <w:t>“</w:t>
      </w:r>
      <w:r w:rsidR="000F23AC">
        <w:rPr>
          <w:lang w:val="fr-FR"/>
        </w:rPr>
        <w:t>123nv</w:t>
      </w:r>
      <w:r w:rsidR="00B835F8" w:rsidRPr="00EA1561">
        <w:rPr>
          <w:lang w:val="fr-FR"/>
        </w:rPr>
        <w:t>”</w:t>
      </w:r>
      <w:r w:rsidR="000F23AC">
        <w:rPr>
          <w:lang w:val="fr-FR"/>
        </w:rPr>
        <w:t xml:space="preserve">, </w:t>
      </w:r>
      <w:r w:rsidRPr="00D30F33">
        <w:rPr>
          <w:lang w:val="fr-FR"/>
        </w:rPr>
        <w:t>not broken down by other services, already existed</w:t>
      </w:r>
      <w:r w:rsidR="000F23AC">
        <w:rPr>
          <w:lang w:val="fr-FR"/>
        </w:rPr>
        <w:t xml:space="preserve">. </w:t>
      </w:r>
      <w:r w:rsidRPr="00D30F33">
        <w:rPr>
          <w:lang w:val="fr-FR"/>
        </w:rPr>
        <w:t>Credits and debits for these items can be negative</w:t>
      </w:r>
      <w:r w:rsidR="000F23AC">
        <w:rPr>
          <w:lang w:val="fr-FR"/>
        </w:rPr>
        <w:t xml:space="preserve">. </w:t>
      </w:r>
    </w:p>
    <w:p w:rsidR="000F23AC" w:rsidRPr="000F23AC" w:rsidRDefault="00D30F33" w:rsidP="00EA1561">
      <w:pPr>
        <w:pStyle w:val="Paragraphedeliste"/>
        <w:numPr>
          <w:ilvl w:val="0"/>
          <w:numId w:val="7"/>
        </w:numPr>
        <w:spacing w:after="120" w:line="360" w:lineRule="auto"/>
        <w:jc w:val="both"/>
        <w:rPr>
          <w:lang w:val="fr-FR"/>
        </w:rPr>
      </w:pPr>
      <w:r w:rsidRPr="00D30F33">
        <w:rPr>
          <w:lang w:val="fr-FR"/>
        </w:rPr>
        <w:t>In the 2015 release, new positions appear</w:t>
      </w:r>
      <w:r w:rsidR="00076B3D">
        <w:rPr>
          <w:lang w:val="fr-FR"/>
        </w:rPr>
        <w:t xml:space="preserve">. </w:t>
      </w:r>
      <w:r w:rsidRPr="00D30F33">
        <w:rPr>
          <w:lang w:val="fr-FR"/>
        </w:rPr>
        <w:t xml:space="preserve">In services: the </w:t>
      </w:r>
      <w:r w:rsidR="00B835F8" w:rsidRPr="00EA1561">
        <w:rPr>
          <w:lang w:val="fr-FR"/>
        </w:rPr>
        <w:t>“</w:t>
      </w:r>
      <w:r w:rsidRPr="00D30F33">
        <w:rPr>
          <w:lang w:val="fr-FR"/>
        </w:rPr>
        <w:t>Telecommunications, computer and information services</w:t>
      </w:r>
      <w:r w:rsidR="00B835F8" w:rsidRPr="00EA1561">
        <w:rPr>
          <w:lang w:val="fr-FR"/>
        </w:rPr>
        <w:t>”</w:t>
      </w:r>
      <w:r w:rsidRPr="00D30F33">
        <w:rPr>
          <w:lang w:val="fr-FR"/>
        </w:rPr>
        <w:t xml:space="preserve"> account and the </w:t>
      </w:r>
      <w:r w:rsidR="00B835F8" w:rsidRPr="00EA1561">
        <w:rPr>
          <w:lang w:val="fr-FR"/>
        </w:rPr>
        <w:t>“</w:t>
      </w:r>
      <w:r w:rsidRPr="00D30F33">
        <w:rPr>
          <w:lang w:val="fr-FR"/>
        </w:rPr>
        <w:t>Other business services</w:t>
      </w:r>
      <w:r w:rsidR="00B835F8" w:rsidRPr="00EA1561">
        <w:rPr>
          <w:lang w:val="fr-FR"/>
        </w:rPr>
        <w:t>”</w:t>
      </w:r>
      <w:r w:rsidRPr="00D30F33">
        <w:rPr>
          <w:lang w:val="fr-FR"/>
        </w:rPr>
        <w:t xml:space="preserve"> account are </w:t>
      </w:r>
      <w:r w:rsidR="00EA1561">
        <w:rPr>
          <w:lang w:val="fr-FR"/>
        </w:rPr>
        <w:t xml:space="preserve">each </w:t>
      </w:r>
      <w:r w:rsidRPr="00D30F33">
        <w:rPr>
          <w:lang w:val="fr-FR"/>
        </w:rPr>
        <w:t>broken down into three components</w:t>
      </w:r>
      <w:r w:rsidR="00076B3D">
        <w:rPr>
          <w:lang w:val="fr-FR"/>
        </w:rPr>
        <w:t xml:space="preserve">. </w:t>
      </w:r>
      <w:r w:rsidR="00EA1561" w:rsidRPr="00EA1561">
        <w:rPr>
          <w:lang w:val="fr-FR"/>
        </w:rPr>
        <w:t>Primary income is also broken down into three sub-items “compensation of employees”, “investment income” and “other investment”</w:t>
      </w:r>
      <w:r w:rsidR="00076B3D">
        <w:rPr>
          <w:lang w:val="fr-FR"/>
        </w:rPr>
        <w:t>.</w:t>
      </w:r>
      <w:r w:rsidR="000E7A54">
        <w:rPr>
          <w:lang w:val="fr-FR"/>
        </w:rPr>
        <w:t xml:space="preserve"> </w:t>
      </w:r>
      <w:r w:rsidR="00EA1561" w:rsidRPr="00EA1561">
        <w:rPr>
          <w:lang w:val="fr-FR"/>
        </w:rPr>
        <w:t>This last item is new in the latest version of the manual</w:t>
      </w:r>
      <w:r w:rsidR="000E7A54">
        <w:rPr>
          <w:lang w:val="fr-FR"/>
        </w:rPr>
        <w:t xml:space="preserve">.  </w:t>
      </w:r>
      <w:r w:rsidR="00EA1561" w:rsidRPr="00EA1561">
        <w:rPr>
          <w:lang w:val="fr-FR"/>
        </w:rPr>
        <w:t>Contrary to the choice made for the other items in the balance of payments, total primary income does not necessarily equal the sum, since one of the first two components is not entered</w:t>
      </w:r>
      <w:r w:rsidR="000E7A54">
        <w:rPr>
          <w:lang w:val="fr-FR"/>
        </w:rPr>
        <w:t>.</w:t>
      </w:r>
    </w:p>
    <w:p w:rsidR="00C56253" w:rsidRDefault="00EA1561" w:rsidP="00EA1561">
      <w:pPr>
        <w:pStyle w:val="Paragraphedeliste"/>
        <w:numPr>
          <w:ilvl w:val="0"/>
          <w:numId w:val="6"/>
        </w:numPr>
        <w:spacing w:after="120" w:line="360" w:lineRule="auto"/>
        <w:jc w:val="both"/>
        <w:rPr>
          <w:lang w:val="fr-FR"/>
        </w:rPr>
      </w:pPr>
      <w:r w:rsidRPr="00EA1561">
        <w:rPr>
          <w:lang w:val="fr-FR"/>
        </w:rPr>
        <w:t xml:space="preserve">For years prior to the </w:t>
      </w:r>
      <w:r>
        <w:rPr>
          <w:lang w:val="fr-FR"/>
        </w:rPr>
        <w:t>fir</w:t>
      </w:r>
      <w:r w:rsidRPr="00EA1561">
        <w:rPr>
          <w:lang w:val="fr-FR"/>
        </w:rPr>
        <w:t xml:space="preserve">st year available in version 5 of the </w:t>
      </w:r>
      <w:r w:rsidR="00B835F8">
        <w:rPr>
          <w:lang w:val="fr-FR"/>
        </w:rPr>
        <w:t>M</w:t>
      </w:r>
      <w:r w:rsidRPr="00EA1561">
        <w:rPr>
          <w:lang w:val="fr-FR"/>
        </w:rPr>
        <w:t>anual, some countries are not present</w:t>
      </w:r>
      <w:r w:rsidR="006F75B0">
        <w:rPr>
          <w:lang w:val="fr-FR"/>
        </w:rPr>
        <w:t xml:space="preserve">. </w:t>
      </w:r>
      <w:r w:rsidRPr="00EA1561">
        <w:rPr>
          <w:lang w:val="fr-FR"/>
        </w:rPr>
        <w:t>For some countries such as Taiwan, Cuba and the United Arab Emirates, the data have been taken up in value from an older version. For Taiwan, the recent data comes from the Taiwan Statistical Data Book 2014</w:t>
      </w:r>
      <w:r w:rsidR="007F08CB">
        <w:rPr>
          <w:lang w:val="fr-FR"/>
        </w:rPr>
        <w:t>.</w:t>
      </w:r>
    </w:p>
    <w:p w:rsidR="006F75B0" w:rsidRDefault="00EA1561" w:rsidP="00EA1561">
      <w:pPr>
        <w:pStyle w:val="Paragraphedeliste"/>
        <w:numPr>
          <w:ilvl w:val="0"/>
          <w:numId w:val="6"/>
        </w:numPr>
        <w:spacing w:after="120" w:line="360" w:lineRule="auto"/>
        <w:jc w:val="both"/>
        <w:rPr>
          <w:lang w:val="fr-FR"/>
        </w:rPr>
      </w:pPr>
      <w:r w:rsidRPr="00EA1561">
        <w:rPr>
          <w:lang w:val="fr-FR"/>
        </w:rPr>
        <w:t>Some countries have received special treatment due to their geographical breakup: Belgium and Luxembourg have reported separately since 2002; the Czech Republic and Slovakia since 1993; Serbia and Montenegro since 2007</w:t>
      </w:r>
      <w:r w:rsidR="009B4FD7">
        <w:rPr>
          <w:lang w:val="fr-FR"/>
        </w:rPr>
        <w:t xml:space="preserve">. </w:t>
      </w:r>
      <w:r w:rsidRPr="00EA1561">
        <w:rPr>
          <w:lang w:val="fr-FR"/>
        </w:rPr>
        <w:t>The aggregate corresponding to these pairs of countries has been included since the first year available and broken down according to triennial shares calculated on each major account (plus a detail of services). For Russia, before 1993, the data correspond to those of the former USSR</w:t>
      </w:r>
      <w:r w:rsidR="00D174AF">
        <w:rPr>
          <w:lang w:val="fr-FR"/>
        </w:rPr>
        <w:t>.</w:t>
      </w:r>
    </w:p>
    <w:p w:rsidR="009B4FD7" w:rsidRPr="00C56253" w:rsidRDefault="009B4FD7" w:rsidP="00AF789F">
      <w:pPr>
        <w:pStyle w:val="Paragraphedeliste"/>
        <w:spacing w:after="120" w:line="360" w:lineRule="auto"/>
        <w:jc w:val="both"/>
        <w:rPr>
          <w:lang w:val="fr-FR"/>
        </w:rPr>
      </w:pPr>
    </w:p>
    <w:p w:rsidR="00635DB8" w:rsidRPr="00C56253" w:rsidRDefault="00A8745C" w:rsidP="00106294">
      <w:pPr>
        <w:pStyle w:val="Titre"/>
        <w:ind w:left="720"/>
        <w:rPr>
          <w:sz w:val="32"/>
          <w:szCs w:val="32"/>
          <w:lang w:val="fr-FR"/>
        </w:rPr>
      </w:pPr>
      <w:r>
        <w:rPr>
          <w:sz w:val="32"/>
          <w:szCs w:val="32"/>
          <w:lang w:val="fr-FR"/>
        </w:rPr>
        <w:t>The</w:t>
      </w:r>
      <w:r w:rsidR="004344BC">
        <w:rPr>
          <w:sz w:val="32"/>
          <w:szCs w:val="32"/>
          <w:lang w:val="fr-FR"/>
        </w:rPr>
        <w:t xml:space="preserve"> </w:t>
      </w:r>
      <w:r w:rsidR="00EA1561" w:rsidRPr="00EA1561">
        <w:rPr>
          <w:sz w:val="32"/>
          <w:szCs w:val="32"/>
          <w:lang w:val="fr-FR"/>
        </w:rPr>
        <w:t>new concept of the Balance of Payments (source: IMF)</w:t>
      </w:r>
    </w:p>
    <w:p w:rsidR="004344BC" w:rsidRDefault="00EA1561" w:rsidP="00EA1561">
      <w:pPr>
        <w:pStyle w:val="Paragraphedeliste"/>
        <w:numPr>
          <w:ilvl w:val="0"/>
          <w:numId w:val="3"/>
        </w:numPr>
        <w:spacing w:after="120" w:line="360" w:lineRule="auto"/>
        <w:jc w:val="both"/>
        <w:rPr>
          <w:lang w:val="fr-FR"/>
        </w:rPr>
      </w:pPr>
      <w:r w:rsidRPr="00EA1561">
        <w:rPr>
          <w:lang w:val="fr-FR"/>
        </w:rPr>
        <w:t xml:space="preserve">The signs have changed in the presentation of the </w:t>
      </w:r>
      <w:r w:rsidR="00C6204D">
        <w:rPr>
          <w:lang w:val="fr-FR"/>
        </w:rPr>
        <w:t>balance</w:t>
      </w:r>
      <w:r w:rsidR="004344BC">
        <w:rPr>
          <w:lang w:val="fr-FR"/>
        </w:rPr>
        <w:t xml:space="preserve">: </w:t>
      </w:r>
    </w:p>
    <w:p w:rsidR="005F1CF7" w:rsidRDefault="00EA1561" w:rsidP="00EA1561">
      <w:pPr>
        <w:pStyle w:val="Paragraphedeliste"/>
        <w:numPr>
          <w:ilvl w:val="0"/>
          <w:numId w:val="4"/>
        </w:numPr>
        <w:spacing w:after="120" w:line="360" w:lineRule="auto"/>
        <w:jc w:val="both"/>
        <w:rPr>
          <w:lang w:val="fr-FR"/>
        </w:rPr>
      </w:pPr>
      <w:r w:rsidRPr="00EA1561">
        <w:rPr>
          <w:lang w:val="fr-FR"/>
        </w:rPr>
        <w:t>For the current account and the capital account, credits and debits are recorded with positive signs; the balance is therefore the difference between credits and debits</w:t>
      </w:r>
      <w:r w:rsidR="004344BC">
        <w:rPr>
          <w:lang w:val="fr-FR"/>
        </w:rPr>
        <w:t>.</w:t>
      </w:r>
    </w:p>
    <w:p w:rsidR="004344BC" w:rsidRPr="003477AE" w:rsidRDefault="00EA1561" w:rsidP="00EA1561">
      <w:pPr>
        <w:pStyle w:val="Paragraphedeliste"/>
        <w:numPr>
          <w:ilvl w:val="0"/>
          <w:numId w:val="4"/>
        </w:numPr>
        <w:spacing w:after="120" w:line="360" w:lineRule="auto"/>
        <w:jc w:val="both"/>
        <w:rPr>
          <w:lang w:val="fr-FR"/>
        </w:rPr>
      </w:pPr>
      <w:r w:rsidRPr="00EA1561">
        <w:rPr>
          <w:lang w:val="fr-FR"/>
        </w:rPr>
        <w:t xml:space="preserve">For the financial account, increases (decreases) in assets and increases (decreases) in liabilities are recorded with positive (negative) signs, so the balance is the difference between assets and liabilities. </w:t>
      </w:r>
      <w:r w:rsidR="007F08CB">
        <w:rPr>
          <w:lang w:val="fr-FR"/>
        </w:rPr>
        <w:t>Signs are o</w:t>
      </w:r>
      <w:r w:rsidRPr="00EA1561">
        <w:rPr>
          <w:lang w:val="fr-FR"/>
        </w:rPr>
        <w:t xml:space="preserve">pposite for the balance of the financial account and its components in the new version of the IMF Manual compared to the </w:t>
      </w:r>
      <w:r w:rsidR="007F08CB">
        <w:rPr>
          <w:lang w:val="fr-FR"/>
        </w:rPr>
        <w:t>previous one</w:t>
      </w:r>
      <w:r w:rsidR="0001196B" w:rsidRPr="003477AE">
        <w:rPr>
          <w:lang w:val="fr-FR"/>
        </w:rPr>
        <w:t>.</w:t>
      </w:r>
    </w:p>
    <w:p w:rsidR="00357996" w:rsidRDefault="007F08CB" w:rsidP="007F08CB">
      <w:pPr>
        <w:pStyle w:val="Paragraphedeliste"/>
        <w:numPr>
          <w:ilvl w:val="0"/>
          <w:numId w:val="3"/>
        </w:numPr>
        <w:spacing w:after="120" w:line="360" w:lineRule="auto"/>
        <w:jc w:val="both"/>
        <w:rPr>
          <w:lang w:val="fr-FR"/>
        </w:rPr>
      </w:pPr>
      <w:r w:rsidRPr="007F08CB">
        <w:rPr>
          <w:lang w:val="fr-FR"/>
        </w:rPr>
        <w:t>Current account, capital account and financial account balances, reserve assets do not change between the two versions; errors and omissions, unlike those in the IMF ba</w:t>
      </w:r>
      <w:r>
        <w:rPr>
          <w:lang w:val="fr-FR"/>
        </w:rPr>
        <w:t>se, may vary due to re</w:t>
      </w:r>
      <w:r w:rsidR="00357996" w:rsidRPr="00357996">
        <w:rPr>
          <w:lang w:val="fr-FR"/>
        </w:rPr>
        <w:t>tropolation</w:t>
      </w:r>
      <w:r w:rsidR="00635DB8" w:rsidRPr="00357996">
        <w:rPr>
          <w:lang w:val="fr-FR"/>
        </w:rPr>
        <w:t xml:space="preserve">. </w:t>
      </w:r>
    </w:p>
    <w:p w:rsidR="00635DB8" w:rsidRPr="00357996" w:rsidRDefault="007F08CB" w:rsidP="007F08CB">
      <w:pPr>
        <w:pStyle w:val="Paragraphedeliste"/>
        <w:numPr>
          <w:ilvl w:val="0"/>
          <w:numId w:val="3"/>
        </w:numPr>
        <w:spacing w:after="120" w:line="360" w:lineRule="auto"/>
        <w:jc w:val="both"/>
        <w:rPr>
          <w:lang w:val="fr-FR"/>
        </w:rPr>
      </w:pPr>
      <w:r w:rsidRPr="007F08CB">
        <w:rPr>
          <w:lang w:val="fr-FR"/>
        </w:rPr>
        <w:t>For the current and capital account, the main differences are</w:t>
      </w:r>
      <w:r w:rsidR="00635DB8" w:rsidRPr="00357996">
        <w:rPr>
          <w:lang w:val="fr-FR"/>
        </w:rPr>
        <w:t>:</w:t>
      </w:r>
    </w:p>
    <w:p w:rsidR="00635DB8" w:rsidRDefault="007F08CB" w:rsidP="007F08CB">
      <w:pPr>
        <w:pStyle w:val="Paragraphedeliste"/>
        <w:numPr>
          <w:ilvl w:val="0"/>
          <w:numId w:val="4"/>
        </w:numPr>
        <w:spacing w:after="120" w:line="360" w:lineRule="auto"/>
        <w:jc w:val="both"/>
        <w:rPr>
          <w:lang w:val="fr-FR"/>
        </w:rPr>
      </w:pPr>
      <w:r w:rsidRPr="00EA1561">
        <w:rPr>
          <w:lang w:val="fr-FR"/>
        </w:rPr>
        <w:t>“</w:t>
      </w:r>
      <w:r w:rsidRPr="007F08CB">
        <w:rPr>
          <w:lang w:val="fr-FR"/>
        </w:rPr>
        <w:t>International trading</w:t>
      </w:r>
      <w:r w:rsidRPr="00EA1561">
        <w:rPr>
          <w:lang w:val="fr-FR"/>
        </w:rPr>
        <w:t>”</w:t>
      </w:r>
      <w:r w:rsidRPr="007F08CB">
        <w:rPr>
          <w:lang w:val="fr-FR"/>
        </w:rPr>
        <w:t xml:space="preserve"> has moved from services to goods</w:t>
      </w:r>
      <w:r w:rsidR="009952DD">
        <w:rPr>
          <w:lang w:val="fr-FR"/>
        </w:rPr>
        <w:t>.</w:t>
      </w:r>
    </w:p>
    <w:p w:rsidR="009952DD" w:rsidRDefault="00B835F8" w:rsidP="007F08CB">
      <w:pPr>
        <w:pStyle w:val="Paragraphedeliste"/>
        <w:numPr>
          <w:ilvl w:val="0"/>
          <w:numId w:val="4"/>
        </w:numPr>
        <w:spacing w:after="120" w:line="360" w:lineRule="auto"/>
        <w:jc w:val="both"/>
        <w:rPr>
          <w:lang w:val="fr-FR"/>
        </w:rPr>
      </w:pPr>
      <w:r w:rsidRPr="00EA1561">
        <w:rPr>
          <w:lang w:val="fr-FR"/>
        </w:rPr>
        <w:t>“</w:t>
      </w:r>
      <w:r w:rsidR="007F08CB">
        <w:rPr>
          <w:lang w:val="fr-FR"/>
        </w:rPr>
        <w:t>P</w:t>
      </w:r>
      <w:r w:rsidR="007F08CB" w:rsidRPr="007F08CB">
        <w:rPr>
          <w:lang w:val="fr-FR"/>
        </w:rPr>
        <w:t>rocessing</w:t>
      </w:r>
      <w:r w:rsidRPr="007F08CB">
        <w:rPr>
          <w:lang w:val="fr-FR"/>
        </w:rPr>
        <w:t>”</w:t>
      </w:r>
      <w:r w:rsidR="007F08CB" w:rsidRPr="007F08CB">
        <w:rPr>
          <w:lang w:val="fr-FR"/>
        </w:rPr>
        <w:t xml:space="preserve"> has changed from the goods to the services item, as soon as the change in ownership of the final goods is not proven</w:t>
      </w:r>
      <w:r w:rsidR="009952DD">
        <w:rPr>
          <w:lang w:val="fr-FR"/>
        </w:rPr>
        <w:t>.</w:t>
      </w:r>
    </w:p>
    <w:p w:rsidR="009952DD" w:rsidRDefault="007F08CB" w:rsidP="007F08CB">
      <w:pPr>
        <w:pStyle w:val="Paragraphedeliste"/>
        <w:numPr>
          <w:ilvl w:val="0"/>
          <w:numId w:val="4"/>
        </w:numPr>
        <w:spacing w:after="120" w:line="360" w:lineRule="auto"/>
        <w:jc w:val="both"/>
        <w:rPr>
          <w:lang w:val="fr-FR"/>
        </w:rPr>
      </w:pPr>
      <w:r w:rsidRPr="007F08CB">
        <w:rPr>
          <w:lang w:val="fr-FR"/>
        </w:rPr>
        <w:t>“Repairs on Goods” moved from Goods to Services</w:t>
      </w:r>
      <w:r w:rsidR="009952DD">
        <w:rPr>
          <w:lang w:val="fr-FR"/>
        </w:rPr>
        <w:t>.</w:t>
      </w:r>
    </w:p>
    <w:p w:rsidR="009952DD" w:rsidRDefault="007F08CB" w:rsidP="007F08CB">
      <w:pPr>
        <w:pStyle w:val="Paragraphedeliste"/>
        <w:numPr>
          <w:ilvl w:val="0"/>
          <w:numId w:val="4"/>
        </w:numPr>
        <w:spacing w:after="120" w:line="360" w:lineRule="auto"/>
        <w:jc w:val="both"/>
        <w:rPr>
          <w:lang w:val="fr-FR"/>
        </w:rPr>
      </w:pPr>
      <w:r w:rsidRPr="007F08CB">
        <w:rPr>
          <w:lang w:val="fr-FR"/>
        </w:rPr>
        <w:t xml:space="preserve">Communications services and services related to computers and the Internet can be found under the </w:t>
      </w:r>
      <w:r>
        <w:rPr>
          <w:lang w:val="fr-FR"/>
        </w:rPr>
        <w:t>item</w:t>
      </w:r>
      <w:r w:rsidRPr="007F08CB">
        <w:rPr>
          <w:lang w:val="fr-FR"/>
        </w:rPr>
        <w:t xml:space="preserve"> </w:t>
      </w:r>
      <w:r w:rsidR="00B835F8" w:rsidRPr="00EA1561">
        <w:rPr>
          <w:lang w:val="fr-FR"/>
        </w:rPr>
        <w:t>“</w:t>
      </w:r>
      <w:r w:rsidRPr="007F08CB">
        <w:rPr>
          <w:lang w:val="fr-FR"/>
        </w:rPr>
        <w:t>Telecommunications, computer services and the Internet</w:t>
      </w:r>
      <w:r w:rsidR="002B23EE" w:rsidRPr="007F08CB">
        <w:rPr>
          <w:lang w:val="fr-FR"/>
        </w:rPr>
        <w:t>”</w:t>
      </w:r>
      <w:r w:rsidRPr="007F08CB">
        <w:rPr>
          <w:lang w:val="fr-FR"/>
        </w:rPr>
        <w:t xml:space="preserve">; the </w:t>
      </w:r>
      <w:r>
        <w:rPr>
          <w:lang w:val="fr-FR"/>
        </w:rPr>
        <w:t>item</w:t>
      </w:r>
      <w:r w:rsidRPr="007F08CB">
        <w:rPr>
          <w:lang w:val="fr-FR"/>
        </w:rPr>
        <w:t xml:space="preserve"> </w:t>
      </w:r>
      <w:r w:rsidR="00B835F8" w:rsidRPr="00EA1561">
        <w:rPr>
          <w:lang w:val="fr-FR"/>
        </w:rPr>
        <w:t>“</w:t>
      </w:r>
      <w:r w:rsidRPr="007F08CB">
        <w:rPr>
          <w:lang w:val="fr-FR"/>
        </w:rPr>
        <w:t>postal and mail services</w:t>
      </w:r>
      <w:r w:rsidR="002B23EE" w:rsidRPr="007F08CB">
        <w:rPr>
          <w:lang w:val="fr-FR"/>
        </w:rPr>
        <w:t>”</w:t>
      </w:r>
      <w:r w:rsidRPr="007F08CB">
        <w:rPr>
          <w:lang w:val="fr-FR"/>
        </w:rPr>
        <w:t xml:space="preserve"> can be found in transport</w:t>
      </w:r>
      <w:r w:rsidR="009952DD">
        <w:rPr>
          <w:lang w:val="fr-FR"/>
        </w:rPr>
        <w:t>.</w:t>
      </w:r>
    </w:p>
    <w:p w:rsidR="00C6204D" w:rsidRDefault="007F08CB" w:rsidP="007F08CB">
      <w:pPr>
        <w:pStyle w:val="Paragraphedeliste"/>
        <w:numPr>
          <w:ilvl w:val="0"/>
          <w:numId w:val="4"/>
        </w:numPr>
        <w:spacing w:after="120" w:line="360" w:lineRule="auto"/>
        <w:jc w:val="both"/>
        <w:rPr>
          <w:lang w:val="fr-FR"/>
        </w:rPr>
      </w:pPr>
      <w:r w:rsidRPr="007F08CB">
        <w:rPr>
          <w:lang w:val="fr-FR"/>
        </w:rPr>
        <w:t xml:space="preserve">The transfer of patents and licences is transferred from the capital account to “R&amp;D services”. In the case of licences in the computer or audiovisual field, they can be found under the corresponding services </w:t>
      </w:r>
      <w:r>
        <w:rPr>
          <w:lang w:val="fr-FR"/>
        </w:rPr>
        <w:t>item</w:t>
      </w:r>
      <w:r w:rsidR="00C6204D">
        <w:rPr>
          <w:lang w:val="fr-FR"/>
        </w:rPr>
        <w:t>.</w:t>
      </w:r>
    </w:p>
    <w:p w:rsidR="009952DD" w:rsidRDefault="007F08CB" w:rsidP="007F08CB">
      <w:pPr>
        <w:pStyle w:val="Paragraphedeliste"/>
        <w:numPr>
          <w:ilvl w:val="0"/>
          <w:numId w:val="4"/>
        </w:numPr>
        <w:spacing w:after="120" w:line="360" w:lineRule="auto"/>
        <w:jc w:val="both"/>
        <w:rPr>
          <w:lang w:val="fr-FR"/>
        </w:rPr>
      </w:pPr>
      <w:r w:rsidRPr="007F08CB">
        <w:rPr>
          <w:lang w:val="fr-FR"/>
        </w:rPr>
        <w:t xml:space="preserve">Migrants' transfers should eventually disappear from the balance of payments. For now, the IMF has decided to keep the item under the heading </w:t>
      </w:r>
      <w:r w:rsidR="00B835F8" w:rsidRPr="00EA1561">
        <w:rPr>
          <w:lang w:val="fr-FR"/>
        </w:rPr>
        <w:t>“</w:t>
      </w:r>
      <w:r w:rsidRPr="007F08CB">
        <w:rPr>
          <w:lang w:val="fr-FR"/>
        </w:rPr>
        <w:t>other capital transfers</w:t>
      </w:r>
      <w:r w:rsidR="002B23EE" w:rsidRPr="007F08CB">
        <w:rPr>
          <w:lang w:val="fr-FR"/>
        </w:rPr>
        <w:t>”</w:t>
      </w:r>
      <w:bookmarkStart w:id="0" w:name="_GoBack"/>
      <w:bookmarkEnd w:id="0"/>
      <w:r w:rsidRPr="007F08CB">
        <w:rPr>
          <w:lang w:val="fr-FR"/>
        </w:rPr>
        <w:t xml:space="preserve"> so as not to impact the errors and omissions account</w:t>
      </w:r>
      <w:r w:rsidR="00C6204D">
        <w:rPr>
          <w:lang w:val="fr-FR"/>
        </w:rPr>
        <w:t>.</w:t>
      </w:r>
    </w:p>
    <w:p w:rsidR="00C6204D" w:rsidRDefault="007F08CB" w:rsidP="007F08CB">
      <w:pPr>
        <w:pStyle w:val="Paragraphedeliste"/>
        <w:numPr>
          <w:ilvl w:val="0"/>
          <w:numId w:val="8"/>
        </w:numPr>
        <w:spacing w:after="120" w:line="360" w:lineRule="auto"/>
        <w:jc w:val="both"/>
        <w:rPr>
          <w:lang w:val="fr-FR"/>
        </w:rPr>
      </w:pPr>
      <w:r w:rsidRPr="007F08CB">
        <w:rPr>
          <w:lang w:val="fr-FR"/>
        </w:rPr>
        <w:t>For the financial account, some changes are to be noted</w:t>
      </w:r>
      <w:r w:rsidR="00C6204D">
        <w:rPr>
          <w:lang w:val="fr-FR"/>
        </w:rPr>
        <w:t>:</w:t>
      </w:r>
    </w:p>
    <w:p w:rsidR="00C6204D" w:rsidRDefault="007F08CB" w:rsidP="007F08CB">
      <w:pPr>
        <w:pStyle w:val="Paragraphedeliste"/>
        <w:numPr>
          <w:ilvl w:val="0"/>
          <w:numId w:val="4"/>
        </w:numPr>
        <w:spacing w:after="120" w:line="360" w:lineRule="auto"/>
        <w:jc w:val="both"/>
        <w:rPr>
          <w:lang w:val="fr-FR"/>
        </w:rPr>
      </w:pPr>
      <w:r w:rsidRPr="007F08CB">
        <w:rPr>
          <w:lang w:val="fr-FR"/>
        </w:rPr>
        <w:t>Presentation is in the form of assets and liabilities and becomes sector specific</w:t>
      </w:r>
      <w:r w:rsidR="00C6204D">
        <w:rPr>
          <w:lang w:val="fr-FR"/>
        </w:rPr>
        <w:t>.</w:t>
      </w:r>
    </w:p>
    <w:p w:rsidR="005F1CF7" w:rsidRPr="004344BC" w:rsidRDefault="007F08CB" w:rsidP="007F08CB">
      <w:pPr>
        <w:pStyle w:val="Paragraphedeliste"/>
        <w:numPr>
          <w:ilvl w:val="0"/>
          <w:numId w:val="4"/>
        </w:numPr>
        <w:spacing w:after="120" w:line="360" w:lineRule="auto"/>
        <w:jc w:val="both"/>
        <w:rPr>
          <w:lang w:val="fr-FR"/>
        </w:rPr>
      </w:pPr>
      <w:r w:rsidRPr="007F08CB">
        <w:rPr>
          <w:lang w:val="fr-FR"/>
        </w:rPr>
        <w:t>The “other investment” item is largely split between direct investment, portfolio investment and the acquisition of financial assets according to their nature</w:t>
      </w:r>
      <w:r w:rsidR="00C6204D">
        <w:rPr>
          <w:lang w:val="fr-FR"/>
        </w:rPr>
        <w:t>.</w:t>
      </w:r>
    </w:p>
    <w:sectPr w:rsidR="005F1CF7" w:rsidRPr="004344BC" w:rsidSect="005E03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2E" w:rsidRDefault="009E5D2E" w:rsidP="004344BC">
      <w:r>
        <w:separator/>
      </w:r>
    </w:p>
  </w:endnote>
  <w:endnote w:type="continuationSeparator" w:id="0">
    <w:p w:rsidR="009E5D2E" w:rsidRDefault="009E5D2E" w:rsidP="0043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19652"/>
      <w:docPartObj>
        <w:docPartGallery w:val="Page Numbers (Bottom of Page)"/>
        <w:docPartUnique/>
      </w:docPartObj>
    </w:sdtPr>
    <w:sdtEndPr/>
    <w:sdtContent>
      <w:p w:rsidR="009E5D2E" w:rsidRDefault="002B23EE">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rsidR="009E5D2E" w:rsidRDefault="009E5D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2E" w:rsidRDefault="009E5D2E" w:rsidP="004344BC">
      <w:r>
        <w:separator/>
      </w:r>
    </w:p>
  </w:footnote>
  <w:footnote w:type="continuationSeparator" w:id="0">
    <w:p w:rsidR="009E5D2E" w:rsidRDefault="009E5D2E" w:rsidP="0043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76226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40A9054"/>
    <w:lvl w:ilvl="0">
      <w:start w:val="1"/>
      <w:numFmt w:val="bullet"/>
      <w:pStyle w:val="Listepuces"/>
      <w:lvlText w:val=""/>
      <w:lvlJc w:val="left"/>
      <w:pPr>
        <w:tabs>
          <w:tab w:val="num" w:pos="720"/>
        </w:tabs>
        <w:ind w:left="720" w:hanging="720"/>
      </w:pPr>
      <w:rPr>
        <w:rFonts w:ascii="Symbol" w:hAnsi="Symbol" w:hint="default"/>
      </w:rPr>
    </w:lvl>
  </w:abstractNum>
  <w:abstractNum w:abstractNumId="2" w15:restartNumberingAfterBreak="0">
    <w:nsid w:val="0FBD0736"/>
    <w:multiLevelType w:val="hybridMultilevel"/>
    <w:tmpl w:val="8ED62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D2D43"/>
    <w:multiLevelType w:val="hybridMultilevel"/>
    <w:tmpl w:val="4EC09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D3503"/>
    <w:multiLevelType w:val="hybridMultilevel"/>
    <w:tmpl w:val="438823E8"/>
    <w:lvl w:ilvl="0" w:tplc="9E9EBFFA">
      <w:numFmt w:val="bullet"/>
      <w:lvlText w:val="-"/>
      <w:lvlJc w:val="left"/>
      <w:pPr>
        <w:ind w:left="1080" w:hanging="360"/>
      </w:pPr>
      <w:rPr>
        <w:rFonts w:ascii="Times New Roman" w:eastAsia="MS Mincho"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C306077"/>
    <w:multiLevelType w:val="hybridMultilevel"/>
    <w:tmpl w:val="9C4EDA4E"/>
    <w:lvl w:ilvl="0" w:tplc="7D0A4F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C41A8B"/>
    <w:multiLevelType w:val="hybridMultilevel"/>
    <w:tmpl w:val="EB1E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A5606D"/>
    <w:multiLevelType w:val="hybridMultilevel"/>
    <w:tmpl w:val="DEAE3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F7"/>
    <w:rsid w:val="0001196B"/>
    <w:rsid w:val="00013A41"/>
    <w:rsid w:val="0003387D"/>
    <w:rsid w:val="00076B3D"/>
    <w:rsid w:val="000E7A54"/>
    <w:rsid w:val="000F23AC"/>
    <w:rsid w:val="0010546F"/>
    <w:rsid w:val="00106294"/>
    <w:rsid w:val="0012607F"/>
    <w:rsid w:val="00142BD4"/>
    <w:rsid w:val="0015403F"/>
    <w:rsid w:val="0015422A"/>
    <w:rsid w:val="002B23EE"/>
    <w:rsid w:val="00307A8D"/>
    <w:rsid w:val="003477AE"/>
    <w:rsid w:val="00357996"/>
    <w:rsid w:val="003C526F"/>
    <w:rsid w:val="004246C6"/>
    <w:rsid w:val="004344BC"/>
    <w:rsid w:val="004E620A"/>
    <w:rsid w:val="00517B24"/>
    <w:rsid w:val="005473BA"/>
    <w:rsid w:val="0058236D"/>
    <w:rsid w:val="0058438D"/>
    <w:rsid w:val="005C3EA8"/>
    <w:rsid w:val="005E0301"/>
    <w:rsid w:val="005F1CF7"/>
    <w:rsid w:val="00635DB8"/>
    <w:rsid w:val="006C5909"/>
    <w:rsid w:val="006F75B0"/>
    <w:rsid w:val="007704EE"/>
    <w:rsid w:val="007D424D"/>
    <w:rsid w:val="007F08CB"/>
    <w:rsid w:val="0083523B"/>
    <w:rsid w:val="00984EB6"/>
    <w:rsid w:val="009952DD"/>
    <w:rsid w:val="009B4FD7"/>
    <w:rsid w:val="009D7493"/>
    <w:rsid w:val="009E5D2E"/>
    <w:rsid w:val="009F33C9"/>
    <w:rsid w:val="009F496B"/>
    <w:rsid w:val="00A22130"/>
    <w:rsid w:val="00A8745C"/>
    <w:rsid w:val="00AA4A6E"/>
    <w:rsid w:val="00AC5394"/>
    <w:rsid w:val="00AE0037"/>
    <w:rsid w:val="00AF789F"/>
    <w:rsid w:val="00B835F8"/>
    <w:rsid w:val="00C54215"/>
    <w:rsid w:val="00C56253"/>
    <w:rsid w:val="00C6204D"/>
    <w:rsid w:val="00CF53B4"/>
    <w:rsid w:val="00D174AF"/>
    <w:rsid w:val="00D30F33"/>
    <w:rsid w:val="00D63FF3"/>
    <w:rsid w:val="00D702DE"/>
    <w:rsid w:val="00EA1561"/>
    <w:rsid w:val="00F559A3"/>
    <w:rsid w:val="00FE19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FDD4"/>
  <w15:docId w15:val="{661D26A8-EC40-4E3F-B984-675A48E0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F7"/>
    <w:pPr>
      <w:autoSpaceDE w:val="0"/>
      <w:autoSpaceDN w:val="0"/>
      <w:spacing w:after="0" w:line="240" w:lineRule="auto"/>
      <w:jc w:val="left"/>
    </w:pPr>
    <w:rPr>
      <w:rFonts w:ascii="Times New Roman" w:eastAsia="MS Mincho" w:hAnsi="Times New Roman" w:cs="Times New Roman"/>
      <w:sz w:val="24"/>
      <w:szCs w:val="24"/>
      <w:lang w:val="en-US"/>
    </w:rPr>
  </w:style>
  <w:style w:type="paragraph" w:styleId="Titre1">
    <w:name w:val="heading 1"/>
    <w:basedOn w:val="Normal"/>
    <w:next w:val="Normal"/>
    <w:link w:val="Titre1Car"/>
    <w:uiPriority w:val="9"/>
    <w:qFormat/>
    <w:rsid w:val="00C562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uiPriority w:val="99"/>
    <w:qFormat/>
    <w:rsid w:val="00C6204D"/>
    <w:pPr>
      <w:numPr>
        <w:numId w:val="2"/>
      </w:numPr>
      <w:spacing w:after="240"/>
    </w:pPr>
  </w:style>
  <w:style w:type="character" w:styleId="Lienhypertexte">
    <w:name w:val="Hyperlink"/>
    <w:basedOn w:val="Policepardfaut"/>
    <w:uiPriority w:val="99"/>
    <w:unhideWhenUsed/>
    <w:rsid w:val="005F1CF7"/>
    <w:rPr>
      <w:color w:val="0000FF" w:themeColor="hyperlink"/>
      <w:u w:val="single"/>
    </w:rPr>
  </w:style>
  <w:style w:type="paragraph" w:styleId="Paragraphedeliste">
    <w:name w:val="List Paragraph"/>
    <w:basedOn w:val="Normal"/>
    <w:uiPriority w:val="34"/>
    <w:qFormat/>
    <w:rsid w:val="005F1CF7"/>
    <w:pPr>
      <w:ind w:left="720"/>
      <w:contextualSpacing/>
    </w:pPr>
  </w:style>
  <w:style w:type="character" w:customStyle="1" w:styleId="Titre1Car">
    <w:name w:val="Titre 1 Car"/>
    <w:basedOn w:val="Policepardfaut"/>
    <w:link w:val="Titre1"/>
    <w:uiPriority w:val="9"/>
    <w:rsid w:val="00C56253"/>
    <w:rPr>
      <w:rFonts w:asciiTheme="majorHAnsi" w:eastAsiaTheme="majorEastAsia" w:hAnsiTheme="majorHAnsi" w:cstheme="majorBidi"/>
      <w:b/>
      <w:bCs/>
      <w:color w:val="365F91" w:themeColor="accent1" w:themeShade="BF"/>
      <w:sz w:val="28"/>
      <w:szCs w:val="28"/>
      <w:lang w:val="en-US"/>
    </w:rPr>
  </w:style>
  <w:style w:type="paragraph" w:styleId="Titre">
    <w:name w:val="Title"/>
    <w:basedOn w:val="Normal"/>
    <w:next w:val="Normal"/>
    <w:link w:val="TitreCar"/>
    <w:uiPriority w:val="10"/>
    <w:qFormat/>
    <w:rsid w:val="00C562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56253"/>
    <w:rPr>
      <w:rFonts w:asciiTheme="majorHAnsi" w:eastAsiaTheme="majorEastAsia" w:hAnsiTheme="majorHAnsi" w:cstheme="majorBidi"/>
      <w:color w:val="17365D" w:themeColor="text2" w:themeShade="BF"/>
      <w:spacing w:val="5"/>
      <w:kern w:val="28"/>
      <w:sz w:val="52"/>
      <w:szCs w:val="52"/>
      <w:lang w:val="en-US"/>
    </w:rPr>
  </w:style>
  <w:style w:type="paragraph" w:styleId="En-tte">
    <w:name w:val="header"/>
    <w:basedOn w:val="Normal"/>
    <w:link w:val="En-tteCar"/>
    <w:uiPriority w:val="99"/>
    <w:semiHidden/>
    <w:unhideWhenUsed/>
    <w:rsid w:val="004344BC"/>
    <w:pPr>
      <w:tabs>
        <w:tab w:val="center" w:pos="4536"/>
        <w:tab w:val="right" w:pos="9072"/>
      </w:tabs>
    </w:pPr>
  </w:style>
  <w:style w:type="character" w:customStyle="1" w:styleId="En-tteCar">
    <w:name w:val="En-tête Car"/>
    <w:basedOn w:val="Policepardfaut"/>
    <w:link w:val="En-tte"/>
    <w:uiPriority w:val="99"/>
    <w:semiHidden/>
    <w:rsid w:val="004344BC"/>
    <w:rPr>
      <w:rFonts w:ascii="Times New Roman" w:eastAsia="MS Mincho" w:hAnsi="Times New Roman" w:cs="Times New Roman"/>
      <w:sz w:val="24"/>
      <w:szCs w:val="24"/>
      <w:lang w:val="en-US"/>
    </w:rPr>
  </w:style>
  <w:style w:type="paragraph" w:styleId="Pieddepage">
    <w:name w:val="footer"/>
    <w:basedOn w:val="Normal"/>
    <w:link w:val="PieddepageCar"/>
    <w:uiPriority w:val="99"/>
    <w:unhideWhenUsed/>
    <w:rsid w:val="004344BC"/>
    <w:pPr>
      <w:tabs>
        <w:tab w:val="center" w:pos="4536"/>
        <w:tab w:val="right" w:pos="9072"/>
      </w:tabs>
    </w:pPr>
  </w:style>
  <w:style w:type="character" w:customStyle="1" w:styleId="PieddepageCar">
    <w:name w:val="Pied de page Car"/>
    <w:basedOn w:val="Policepardfaut"/>
    <w:link w:val="Pieddepage"/>
    <w:uiPriority w:val="99"/>
    <w:rsid w:val="004344BC"/>
    <w:rPr>
      <w:rFonts w:ascii="Times New Roman" w:eastAsia="MS Mincho" w:hAnsi="Times New Roman" w:cs="Times New Roman"/>
      <w:sz w:val="24"/>
      <w:szCs w:val="24"/>
      <w:lang w:val="en-US"/>
    </w:rPr>
  </w:style>
  <w:style w:type="paragraph" w:styleId="Notedebasdepage">
    <w:name w:val="footnote text"/>
    <w:basedOn w:val="Normal"/>
    <w:link w:val="NotedebasdepageCar"/>
    <w:uiPriority w:val="99"/>
    <w:semiHidden/>
    <w:unhideWhenUsed/>
    <w:rsid w:val="006C5909"/>
    <w:rPr>
      <w:sz w:val="20"/>
      <w:szCs w:val="20"/>
    </w:rPr>
  </w:style>
  <w:style w:type="character" w:customStyle="1" w:styleId="NotedebasdepageCar">
    <w:name w:val="Note de bas de page Car"/>
    <w:basedOn w:val="Policepardfaut"/>
    <w:link w:val="Notedebasdepage"/>
    <w:uiPriority w:val="99"/>
    <w:semiHidden/>
    <w:rsid w:val="006C5909"/>
    <w:rPr>
      <w:rFonts w:ascii="Times New Roman" w:eastAsia="MS Mincho" w:hAnsi="Times New Roman" w:cs="Times New Roman"/>
      <w:sz w:val="20"/>
      <w:szCs w:val="20"/>
      <w:lang w:val="en-US"/>
    </w:rPr>
  </w:style>
  <w:style w:type="character" w:styleId="Appelnotedebasdep">
    <w:name w:val="footnote reference"/>
    <w:basedOn w:val="Policepardfaut"/>
    <w:uiPriority w:val="99"/>
    <w:semiHidden/>
    <w:unhideWhenUsed/>
    <w:rsid w:val="006C5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pubs/ft/bop/2007/bopman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4D82F-00F0-4E9F-ACCD-F9E33FD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nayman</dc:creator>
  <cp:lastModifiedBy>Alix De Saint-Vaulry</cp:lastModifiedBy>
  <cp:revision>4</cp:revision>
  <dcterms:created xsi:type="dcterms:W3CDTF">2022-04-07T13:07:00Z</dcterms:created>
  <dcterms:modified xsi:type="dcterms:W3CDTF">2022-04-07T13:57:00Z</dcterms:modified>
</cp:coreProperties>
</file>